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pacing w:val="76"/>
          <w:sz w:val="156"/>
          <w:highlight w:val="none"/>
          <w14:textFill>
            <w14:solidFill>
              <w14:schemeClr w14:val="tx1"/>
            </w14:solidFill>
          </w14:textFill>
        </w:rPr>
      </w:pPr>
      <w:r>
        <w:rPr>
          <w:rFonts w:hint="eastAsia" w:ascii="宋体" w:hAnsi="宋体" w:eastAsia="宋体" w:cs="宋体"/>
          <w:color w:val="000000" w:themeColor="text1"/>
          <w:spacing w:val="76"/>
          <w:sz w:val="156"/>
          <w:highlight w:val="none"/>
          <w14:textFill>
            <w14:solidFill>
              <w14:schemeClr w14:val="tx1"/>
            </w14:solidFill>
          </w14:textFill>
        </w:rPr>
        <w:t xml:space="preserve">招标文件</w:t>
      </w:r>
      <w:r/>
    </w:p>
    <w:p>
      <w:pP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3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3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754"/>
        <w:rPr>
          <w:rFonts w:hint="eastAsia"/>
        </w:rPr>
      </w:pPr>
      <w:r>
        <w:rPr>
          <w:rFonts w:hint="eastAsia"/>
        </w:rPr>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75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cs="宋体"/>
          <w:color w:val="000000" w:themeColor="text1"/>
          <w:sz w:val="32"/>
          <w:highlight w:val="none"/>
          <w:lang w:eastAsia="zh-CN"/>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项目名称：</w:t>
      </w:r>
      <w:r>
        <w:rPr>
          <w:rFonts w:hint="eastAsia" w:ascii="宋体" w:hAnsi="宋体" w:cs="宋体"/>
          <w:color w:val="000000" w:themeColor="text1"/>
          <w:sz w:val="32"/>
          <w:highlight w:val="none"/>
          <w:lang w:eastAsia="zh-CN"/>
          <w14:textFill>
            <w14:solidFill>
              <w14:schemeClr w14:val="tx1"/>
            </w14:solidFill>
          </w14:textFill>
        </w:rPr>
        <w:t xml:space="preserve">睢宁县桃园镇消防车、巡逻车及消防器材采购项目</w:t>
      </w:r>
      <w:r/>
    </w:p>
    <w:p>
      <w:pPr>
        <w:ind w:left="840"/>
        <w:keepLines w:val="0"/>
        <w:keepNext w:val="0"/>
        <w:pageBreakBefore w:val="0"/>
        <w:spacing w:line="360" w:lineRule="auto"/>
        <w:widowControl w:val="off"/>
        <w:rPr>
          <w:rFonts w:hint="eastAsia" w:ascii="宋体" w:hAnsi="宋体" w:cs="宋体"/>
          <w:color w:val="000000" w:themeColor="text1"/>
          <w:sz w:val="32"/>
          <w:szCs w:val="32"/>
          <w:highlight w:val="yellow"/>
          <w:lang w:eastAsia="zh-CN"/>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项目编号：</w:t>
      </w:r>
      <w:r>
        <w:rPr>
          <w:rFonts w:hint="eastAsia" w:ascii="宋体" w:hAnsi="宋体" w:cs="宋体"/>
          <w:color w:val="000000" w:themeColor="text1"/>
          <w:sz w:val="32"/>
          <w:szCs w:val="32"/>
          <w:highlight w:val="none"/>
          <w:lang w:eastAsia="zh-CN"/>
          <w14:textFill>
            <w14:solidFill>
              <w14:schemeClr w14:val="tx1"/>
            </w14:solidFill>
          </w14:textFill>
        </w:rPr>
        <w:t xml:space="preserve">JSZC-320324-WYGS-G2025-0093</w:t>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lang w:eastAsia="zh-CN"/>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采 购 人：</w:t>
      </w:r>
      <w:r>
        <w:rPr>
          <w:rFonts w:hint="eastAsia" w:ascii="宋体" w:hAnsi="宋体" w:cs="宋体"/>
          <w:color w:val="000000" w:themeColor="text1"/>
          <w:sz w:val="32"/>
          <w:highlight w:val="none"/>
          <w:lang w:eastAsia="zh-CN"/>
          <w14:textFill>
            <w14:solidFill>
              <w14:schemeClr w14:val="tx1"/>
            </w14:solidFill>
          </w14:textFill>
        </w:rPr>
        <w:t xml:space="preserve">睢宁县桃园镇人民政府</w:t>
      </w:r>
      <w:r/>
    </w:p>
    <w:p>
      <w:pP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73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3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采购代理机构：</w:t>
      </w:r>
      <w:r>
        <w:rPr>
          <w:rFonts w:hint="eastAsia" w:ascii="宋体" w:hAnsi="宋体" w:cs="宋体"/>
          <w:color w:val="000000" w:themeColor="text1"/>
          <w:sz w:val="32"/>
          <w:szCs w:val="32"/>
          <w:highlight w:val="none"/>
          <w:lang w:eastAsia="zh-CN"/>
          <w14:textFill>
            <w14:solidFill>
              <w14:schemeClr w14:val="tx1"/>
            </w14:solidFill>
          </w14:textFill>
        </w:rPr>
        <w:t xml:space="preserve">江苏伟业项目管理有限公司</w:t>
      </w:r>
      <w:r/>
    </w:p>
    <w:p>
      <w:pPr>
        <w:jc w:val="center"/>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widowControl/>
        <w:rPr>
          <w:rFonts w:hint="eastAsia" w:ascii="宋体" w:hAnsi="宋体" w:eastAsia="宋体" w:cs="宋体"/>
          <w:color w:val="000000" w:themeColor="text1"/>
          <w:sz w:val="32"/>
          <w:szCs w:val="32"/>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sz w:val="32"/>
          <w:szCs w:val="32"/>
          <w:highlight w:val="none"/>
          <w14:textFill>
            <w14:solidFill>
              <w14:schemeClr w14:val="tx1"/>
            </w14:solidFill>
          </w14:textFill>
        </w:rPr>
        <w:t xml:space="preserve">二〇二</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32"/>
          <w:szCs w:val="32"/>
          <w:highlight w:val="none"/>
          <w14:textFill>
            <w14:solidFill>
              <w14:schemeClr w14:val="tx1"/>
            </w14:solidFill>
          </w14:textFill>
        </w:rPr>
        <w:t xml:space="preserve">年</w:t>
      </w:r>
      <w:r>
        <w:rPr>
          <w:rFonts w:hint="eastAsia" w:ascii="宋体" w:hAnsi="宋体" w:cs="宋体"/>
          <w:color w:val="000000" w:themeColor="text1"/>
          <w:sz w:val="32"/>
          <w:szCs w:val="32"/>
          <w:highlight w:val="none"/>
          <w:lang w:eastAsia="zh-CN"/>
          <w14:textFill>
            <w14:solidFill>
              <w14:schemeClr w14:val="tx1"/>
            </w14:solidFill>
          </w14:textFill>
        </w:rPr>
        <w:t xml:space="preserve">十一</w:t>
      </w:r>
      <w:r>
        <w:rPr>
          <w:rFonts w:hint="eastAsia" w:ascii="宋体" w:hAnsi="宋体" w:eastAsia="宋体" w:cs="宋体"/>
          <w:color w:val="000000" w:themeColor="text1"/>
          <w:sz w:val="32"/>
          <w:szCs w:val="32"/>
          <w:highlight w:val="none"/>
          <w14:textFill>
            <w14:solidFill>
              <w14:schemeClr w14:val="tx1"/>
            </w14:solidFill>
          </w14:textFill>
        </w:rPr>
        <w:t xml:space="preserve">月</w:t>
      </w:r>
      <w:r/>
    </w:p>
    <w:p>
      <w:pPr>
        <w:pStyle w:val="710"/>
        <w:ind w:firstLine="880"/>
        <w:jc w:val="center"/>
        <w:rPr>
          <w:rFonts w:hint="eastAsia" w:ascii="宋体" w:hAnsi="宋体" w:eastAsia="宋体" w:cs="宋体"/>
          <w:color w:val="000000" w:themeColor="text1"/>
          <w:sz w:val="44"/>
          <w:highlight w:val="none"/>
          <w14:textFill>
            <w14:solidFill>
              <w14:schemeClr w14:val="tx1"/>
            </w14:solidFill>
          </w14:textFill>
        </w:rPr>
      </w:pPr>
      <w:r>
        <w:rPr>
          <w:rFonts w:hint="eastAsia" w:ascii="宋体" w:hAnsi="宋体" w:eastAsia="宋体" w:cs="宋体"/>
          <w:color w:val="000000" w:themeColor="text1"/>
          <w:sz w:val="44"/>
          <w:highlight w:val="none"/>
          <w14:textFill>
            <w14:solidFill>
              <w14:schemeClr w14:val="tx1"/>
            </w14:solidFill>
          </w14:textFill>
        </w:rPr>
        <w:t xml:space="preserve">目录</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第一章 投标邀请</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第二章 投标人须知</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第三章 投标资料表</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第四章 评标标准</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第五章 拟签订的合同文本</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第六章 采购需求</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第七章 投标文件相关格式</w:t>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left"/>
        <w:widowControl/>
        <w:rPr>
          <w:rFonts w:hint="eastAsia" w:ascii="宋体" w:hAnsi="宋体" w:eastAsia="宋体" w:cs="宋体"/>
          <w:color w:val="000000" w:themeColor="text1"/>
          <w:sz w:val="30"/>
          <w:szCs w:val="30"/>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6"/>
          <w:szCs w:val="36"/>
          <w:highlight w:val="none"/>
          <w:lang w:val="en-US"/>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w:t>
      </w:r>
      <w:r>
        <w:rPr>
          <w:rFonts w:hint="eastAsia" w:ascii="宋体" w:hAnsi="宋体" w:cs="宋体"/>
          <w:b/>
          <w:bCs/>
          <w:color w:val="000000" w:themeColor="text1"/>
          <w:sz w:val="32"/>
          <w:szCs w:val="32"/>
          <w:highlight w:val="none"/>
          <w:lang w:eastAsia="zh-CN"/>
          <w14:textFill>
            <w14:solidFill>
              <w14:schemeClr w14:val="tx1"/>
            </w14:solidFill>
          </w14:textFill>
        </w:rPr>
        <w:t xml:space="preserve">睢宁县桃园镇消防车、巡逻车及消防器材采购项目</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招标文件</w:t>
      </w:r>
      <w:r/>
    </w:p>
    <w:p>
      <w:pPr>
        <w:pStyle w:val="934"/>
        <w:ind w:firstLine="60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第二章，投标人须知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第三章，投标资料表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第四章，评标标准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第五章，拟签订的合同文本</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第六章，采购需求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第七章，投标文件相关格式。</w:t>
      </w:r>
      <w:r/>
    </w:p>
    <w:p>
      <w:pPr>
        <w:jc w:val="center"/>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第一章  投标邀请</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江苏伟业项目管理有限公司</w:t>
      </w:r>
      <w:r>
        <w:rPr>
          <w:rFonts w:hint="eastAsia" w:ascii="宋体" w:hAnsi="宋体" w:eastAsia="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lang w:eastAsia="zh-CN"/>
          <w14:textFill>
            <w14:solidFill>
              <w14:schemeClr w14:val="tx1"/>
            </w14:solidFill>
          </w14:textFill>
        </w:rPr>
        <w:t xml:space="preserve">睢宁县桃园镇消防车、巡逻车及消防器材采购项目</w:t>
      </w:r>
      <w:r>
        <w:rPr>
          <w:rFonts w:hint="eastAsia" w:ascii="宋体" w:hAnsi="宋体" w:eastAsia="宋体" w:cs="宋体"/>
          <w:color w:val="000000" w:themeColor="text1"/>
          <w:sz w:val="24"/>
          <w:highlight w:val="none"/>
          <w14:textFill>
            <w14:solidFill>
              <w14:schemeClr w14:val="tx1"/>
            </w14:solidFill>
          </w14:textFill>
        </w:rPr>
        <w:t xml:space="preserve">进行公开招标采购，现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邀请</w:t>
      </w:r>
      <w:r>
        <w:rPr>
          <w:rFonts w:hint="eastAsia" w:ascii="宋体" w:hAnsi="宋体" w:eastAsia="宋体" w:cs="宋体"/>
          <w:color w:val="000000" w:themeColor="text1"/>
          <w:sz w:val="24"/>
          <w:highlight w:val="none"/>
          <w14:textFill>
            <w14:solidFill>
              <w14:schemeClr w14:val="tx1"/>
            </w14:solidFill>
          </w14:textFill>
        </w:rPr>
        <w:t xml:space="preserve">符合相关条件的供应商投标。</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一、项目名称和项目编号</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睢宁县桃园镇消防车、巡逻车及消防器材采购项目</w:t>
      </w:r>
      <w:r/>
    </w:p>
    <w:p>
      <w:pPr>
        <w:ind w:firstLine="480"/>
        <w:keepLines w:val="0"/>
        <w:keepNext w:val="0"/>
        <w:pageBreakBefore w:val="0"/>
        <w:spacing w:line="360" w:lineRule="auto"/>
        <w:widowControl w:val="off"/>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JSZC-320324-WYGS-G2025-0093</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二、投标人的资格要求：</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见本项目公开招标公告。</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三、获取招标文件</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（1）潜在供应商访问电子招标投标交易平台的网络地址和方法：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②潜在供应商访问“苏采云”系统的网络地址和方法：“苏采云”系统的网址：http://jszfcg.jsczt.cn/；或进入徐州政府采购网（网址：http://czj.xz.gov.cn/Home/HomeIndex）--业务工作--用户登录，点击“苏采云”进入系统。</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③“CA数字证书”的获取：</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（2）采购代理机构将数据电文形式的招标文件加载至电子招标投标交易平台，供潜在供应商下载或者查阅。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）售价：免费。 </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四、投标有关信息</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1.投标截止时间：</w:t>
      </w:r>
      <w:r>
        <w:rPr>
          <w:rFonts w:hint="eastAsia" w:ascii="宋体" w:hAnsi="宋体" w:eastAsia="宋体" w:cs="宋体"/>
          <w:b w:val="0"/>
          <w:bCs w:val="0"/>
          <w:color w:val="000000" w:themeColor="text1"/>
          <w:sz w:val="24"/>
          <w:highlight w:val="none"/>
          <w14:textFill>
            <w14:solidFill>
              <w14:schemeClr w14:val="tx1"/>
            </w14:solidFill>
          </w14:textFill>
        </w:rPr>
        <w:t xml:space="preserve">202</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5</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年12月10日</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北京时间</w:t>
      </w:r>
      <w:r>
        <w:rPr>
          <w:rFonts w:hint="eastAsia" w:ascii="宋体" w:hAnsi="宋体" w:cs="宋体"/>
          <w:b w:val="0"/>
          <w:bCs w:val="0"/>
          <w:color w:val="000000" w:themeColor="text1"/>
          <w:sz w:val="24"/>
          <w:highlight w:val="none"/>
          <w:lang w:eastAsia="zh-CN"/>
          <w14:textFill>
            <w14:solidFill>
              <w14:schemeClr w14:val="tx1"/>
            </w14:solidFill>
          </w14:textFill>
        </w:rPr>
        <w:t xml:space="preserve">9：10</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highlight w:val="none"/>
        </w:rPr>
      </w:r>
    </w:p>
    <w:p>
      <w:pPr>
        <w:ind w:left="0" w:firstLine="480"/>
        <w:keepLines w:val="0"/>
        <w:keepNext w:val="0"/>
        <w:pageBreakBefore w:val="0"/>
        <w:spacing w:line="336" w:lineRule="auto"/>
        <w:widowControl w:val="off"/>
        <w:rPr>
          <w:rFonts w:hint="eastAsia" w:ascii="宋体" w:hAnsi="宋体" w:eastAsia="宋体" w:cs="宋体"/>
          <w:color w:val="0000ff"/>
          <w:sz w:val="24"/>
          <w:highlight w:val="none"/>
        </w:rPr>
      </w:pPr>
      <w:r>
        <w:rPr>
          <w:rFonts w:hint="eastAsia" w:ascii="宋体" w:hAnsi="宋体" w:eastAsia="宋体" w:cs="宋体"/>
          <w:color w:val="000000" w:themeColor="text1"/>
          <w:sz w:val="24"/>
          <w:highlight w:val="none"/>
          <w14:textFill>
            <w14:solidFill>
              <w14:schemeClr w14:val="tx1"/>
            </w14:solidFill>
          </w14:textFill>
        </w:rPr>
        <w:t xml:space="preserve">2.开标时间：</w:t>
      </w:r>
      <w:r>
        <w:rPr>
          <w:rFonts w:hint="eastAsia" w:ascii="宋体" w:hAnsi="宋体" w:eastAsia="宋体" w:cs="宋体"/>
          <w:b w:val="0"/>
          <w:bCs w:val="0"/>
          <w:color w:val="000000" w:themeColor="text1"/>
          <w:sz w:val="24"/>
          <w:highlight w:val="none"/>
          <w14:textFill>
            <w14:solidFill>
              <w14:schemeClr w14:val="tx1"/>
            </w14:solidFill>
          </w14:textFill>
        </w:rPr>
        <w:t xml:space="preserve">202</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b w:val="0"/>
          <w:bCs w:val="0"/>
          <w:color w:val="000000" w:themeColor="text1"/>
          <w:sz w:val="24"/>
          <w:highlight w:val="none"/>
          <w14:textFill>
            <w14:solidFill>
              <w14:schemeClr w14:val="tx1"/>
            </w14:solidFill>
          </w14:textFill>
        </w:rPr>
        <w:t xml:space="preserve">年</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12月10日</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北京时间</w:t>
      </w:r>
      <w:r>
        <w:rPr>
          <w:rFonts w:hint="eastAsia" w:ascii="宋体" w:hAnsi="宋体" w:cs="宋体"/>
          <w:b w:val="0"/>
          <w:bCs w:val="0"/>
          <w:color w:val="000000" w:themeColor="text1"/>
          <w:sz w:val="24"/>
          <w:highlight w:val="none"/>
          <w:lang w:eastAsia="zh-CN"/>
          <w14:textFill>
            <w14:solidFill>
              <w14:schemeClr w14:val="tx1"/>
            </w14:solidFill>
          </w14:textFill>
        </w:rPr>
        <w:t xml:space="preserve">9：10</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highlight w:val="none"/>
        </w:rP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3.开标地点：“苏采云”系统“开标大厅”或进入徐州政府采购网-业务工作-用户登录，点击“苏采云”进入系统“开标大厅”。 </w:t>
      </w:r>
      <w:r/>
    </w:p>
    <w:p>
      <w:pPr>
        <w:ind w:left="0"/>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五、采购人</w:t>
      </w:r>
      <w:r/>
    </w:p>
    <w:p>
      <w:pPr>
        <w:ind w:left="0" w:firstLine="480"/>
        <w:keepLines w:val="0"/>
        <w:keepNext w:val="0"/>
        <w:pageBreakBefore w:val="0"/>
        <w:spacing w:line="336"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1.名 称：</w:t>
      </w:r>
      <w:r>
        <w:rPr>
          <w:rFonts w:hint="eastAsia" w:ascii="宋体" w:hAnsi="宋体" w:cs="宋体"/>
          <w:color w:val="auto"/>
          <w:sz w:val="24"/>
          <w:highlight w:val="none"/>
          <w:lang w:eastAsia="zh-CN"/>
        </w:rPr>
        <w:t xml:space="preserve">睢宁县桃园镇人民政府</w:t>
      </w:r>
      <w:r/>
    </w:p>
    <w:p>
      <w:pPr>
        <w:ind w:left="0" w:firstLine="480"/>
        <w:keepLines w:val="0"/>
        <w:keepNext w:val="0"/>
        <w:pageBreakBefore w:val="0"/>
        <w:spacing w:line="336"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2.地址：</w:t>
      </w:r>
      <w:r>
        <w:rPr>
          <w:rFonts w:hint="eastAsia" w:ascii="宋体" w:hAnsi="宋体" w:cs="宋体"/>
          <w:color w:val="auto"/>
          <w:sz w:val="24"/>
          <w:highlight w:val="none"/>
          <w:lang w:val="en-US" w:eastAsia="zh-CN"/>
        </w:rPr>
        <w:t xml:space="preserve">睢宁县桃园镇</w:t>
      </w:r>
      <w:r/>
    </w:p>
    <w:p>
      <w:pPr>
        <w:ind w:left="0" w:firstLine="480"/>
        <w:keepLines w:val="0"/>
        <w:keepNext w:val="0"/>
        <w:pageBreakBefore w:val="0"/>
        <w:spacing w:line="336"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3.联系方法：</w:t>
      </w:r>
      <w:r>
        <w:rPr>
          <w:rFonts w:hint="eastAsia" w:ascii="宋体" w:hAnsi="宋体" w:cs="宋体"/>
          <w:color w:val="auto"/>
          <w:sz w:val="24"/>
          <w:highlight w:val="none"/>
          <w:lang w:val="en-US" w:eastAsia="zh-CN"/>
        </w:rPr>
        <w:t xml:space="preserve">姚虎</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auto"/>
          <w:sz w:val="24"/>
          <w:highlight w:val="none"/>
        </w:rPr>
        <w:t xml:space="preserve">4.采购项目联系人：</w:t>
      </w:r>
      <w:r>
        <w:rPr>
          <w:rFonts w:hint="eastAsia" w:ascii="宋体" w:hAnsi="宋体" w:cs="宋体"/>
          <w:color w:val="auto"/>
          <w:sz w:val="24"/>
          <w:highlight w:val="none"/>
          <w:lang w:eastAsia="zh-CN"/>
        </w:rPr>
        <w:t xml:space="preserve">17372229158</w:t>
      </w:r>
      <w:r>
        <w:rPr>
          <w:rFonts w:hint="eastAsia" w:ascii="宋体" w:hAnsi="宋体" w:eastAsia="宋体" w:cs="宋体"/>
          <w:color w:val="auto"/>
          <w:sz w:val="24"/>
          <w:highlight w:val="none"/>
        </w:rPr>
        <w:t xml:space="preserve">      </w:t>
      </w:r>
      <w:r>
        <w:rPr>
          <w:rFonts w:hint="eastAsia" w:ascii="宋体" w:hAnsi="宋体" w:eastAsia="宋体" w:cs="宋体"/>
          <w:color w:val="0000ff"/>
          <w:sz w:val="24"/>
          <w:highlight w:val="none"/>
        </w:rPr>
        <w:t xml:space="preserve">    </w:t>
      </w:r>
      <w:r/>
    </w:p>
    <w:p>
      <w:pPr>
        <w:ind w:left="0"/>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六、采购代理机构</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1．名称：</w:t>
      </w:r>
      <w:r>
        <w:rPr>
          <w:rFonts w:hint="eastAsia" w:ascii="宋体" w:hAnsi="宋体" w:cs="宋体"/>
          <w:color w:val="000000" w:themeColor="text1"/>
          <w:sz w:val="24"/>
          <w:highlight w:val="none"/>
          <w:lang w:eastAsia="zh-CN"/>
          <w14:textFill>
            <w14:solidFill>
              <w14:schemeClr w14:val="tx1"/>
            </w14:solidFill>
          </w14:textFill>
        </w:rPr>
        <w:t xml:space="preserve">江苏伟业项目管理有限公司</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2．地址：</w:t>
      </w:r>
      <w:r>
        <w:rPr>
          <w:rFonts w:hint="eastAsia" w:ascii="宋体" w:hAnsi="宋体" w:cs="宋体"/>
          <w:color w:val="000000" w:themeColor="text1"/>
          <w:sz w:val="24"/>
          <w:highlight w:val="none"/>
          <w:lang w:val="en-US" w:eastAsia="zh-CN"/>
          <w14:textFill>
            <w14:solidFill>
              <w14:schemeClr w14:val="tx1"/>
            </w14:solidFill>
          </w14:textFill>
        </w:rPr>
        <w:t xml:space="preserve">睢宁县睢河北路189号青蓝大楼5楼510</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3．联系方法：</w:t>
      </w:r>
      <w:r>
        <w:rPr>
          <w:rFonts w:hint="eastAsia" w:ascii="宋体" w:hAnsi="宋体" w:cs="宋体"/>
          <w:color w:val="000000" w:themeColor="text1"/>
          <w:sz w:val="24"/>
          <w:highlight w:val="none"/>
          <w:lang w:val="en-US" w:eastAsia="zh-CN"/>
          <w14:textFill>
            <w14:solidFill>
              <w14:schemeClr w14:val="tx1"/>
            </w14:solidFill>
          </w14:textFill>
        </w:rPr>
        <w:t xml:space="preserve">18912027835</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4．采购项目联系人：</w:t>
      </w:r>
      <w:r>
        <w:rPr>
          <w:rFonts w:hint="eastAsia" w:ascii="宋体" w:hAnsi="宋体" w:cs="宋体"/>
          <w:color w:val="000000" w:themeColor="text1"/>
          <w:sz w:val="24"/>
          <w:highlight w:val="none"/>
          <w:lang w:val="en-US" w:eastAsia="zh-CN"/>
          <w14:textFill>
            <w14:solidFill>
              <w14:schemeClr w14:val="tx1"/>
            </w14:solidFill>
          </w14:textFill>
        </w:rPr>
        <w:t xml:space="preserve">宋文祥</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6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br w:type="page" w:clear="all"/>
      </w:r>
      <w:r>
        <w:rPr>
          <w:rFonts w:hint="eastAsia" w:ascii="宋体" w:hAnsi="宋体" w:eastAsia="宋体" w:cs="宋体"/>
          <w:b/>
          <w:bCs/>
          <w:color w:val="000000" w:themeColor="text1"/>
          <w:sz w:val="30"/>
          <w:szCs w:val="30"/>
          <w:highlight w:val="none"/>
          <w14:textFill>
            <w14:solidFill>
              <w14:schemeClr w14:val="tx1"/>
            </w14:solidFill>
          </w14:textFill>
        </w:rPr>
        <w:t xml:space="preserve">第二章  投标人须知</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一、总则</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（一）采购人。采购人即指依法进行政府采购的国家机关、事业单位和团体组织。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（二）政府招标采购方式。政府采购货物或服务（以下简称“货物服务”）的招标方式，分为公开招标和邀请招标。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（六）投标人的资格条件：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投标人是指响应招标、参加投标竞争的法人、其他组织或者自然人。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2.投标人授权代表系指法定代表人或受法人委托的受托人。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二、招标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（八）招标文件应包括以下内容：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第一章：投标邀请；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第二章：投标人须知；</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第三章：投标资料表；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第四章：评标标准；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第五章：拟签订的合同文本；</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第六章：采购需求；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第七章：投标文件相关格式。</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（九）招标文件澄清或者修改：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2.现场考察以本文件第三章《投标资料表》中的要求为准。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3.开标前答疑会以本文件第三章《投标资料表》中的要求为准。</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三、投标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（十二）投标文件的构成：</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1.投标文件的构成以本文件第三章《投标资料表》中的要求为准。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2.投标人应当提交的资格、资信证明文件，以本文件第三章《投标资料表》中的所提要求为准。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（十三）投标函和价格表、商务条件、交货和提供服务的时间：</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2.商务条件以本文件第三章《投标资料表》中的要求为准。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3.交货和提供服务的时间，以本文件第三章《投标资料表》中所提要求为准。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（十四）投标报价要求：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1.投标人应按照招标文件的要求报出分项价格和总价。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2.投标人应按照招标文件的要求进行报价，如投标人作出偏离，应在《偏离表》中列出。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3.采购人不支付报价以外的任何费用。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（十五）投标货币。以本文件第三章《投标资料表》中所提要求为准。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（十六）投标有效期：</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（十七）投标文件的编制要求和签署要求：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（1）投标人应由其法定代表人或法定代表人授权代表在规定的网上投标时间，凭CA证书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color w:val="000000" w:themeColor="text1"/>
          <w:sz w:val="24"/>
          <w:szCs w:val="24"/>
          <w:highlight w:val="none"/>
          <w14:textFill>
            <w14:solidFill>
              <w14:schemeClr w14:val="tx1"/>
            </w14:solidFill>
          </w14:textFill>
        </w:rPr>
        <w:t xml:space="preserve">“苏采云”系统在线编制投标文件（电子数据），并在投标截止时间之前上传投标文件。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（2）投标人应对CA证书妥善保管，如被他人盗用投标，因此带来的结果均由投标人自行承担。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（3）投标人应当对招标文件提出的要求和条件作出实质性响应，并在电子投标系统逐条应答。</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（十八）投标文件的盖章要求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1.投标文件的盖章要求以招标文件第三章《投标资料表》中的要求为准。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（二十）凡在招标文件要求提交投标文件的截止时间之后送达的投标文件，均为无效投标文件，“苏采云”系统将自动拒收。各投标人应在规定时间内通过CA证书进行网上解密。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（二十一）投标人在投标截止时间前，可以对所递交的投标文件进行补充、修改或者撤回，其所进行补充、修改的内容，应当按照招标文件要求进行签署、盖章、密封，然后纳为投标文件的组成部分。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在评标过程中发现投标人有上述情形的，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10.投标文件未按招标文件规定的内容和要求填写的；没有在投标系统指定位置上传对应文件、材料的；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.不具备招标文件中规定的资格要求的；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.报价超过招标文件中规定的预算金额或者最高限价的；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.投标文件含有采购人不能接受的附加条件的；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法律法规</w:t>
      </w:r>
      <w:r>
        <w:rPr>
          <w:rFonts w:hint="eastAsia" w:ascii="宋体" w:hAnsi="宋体" w:eastAsia="宋体" w:cs="宋体"/>
          <w:color w:val="000000" w:themeColor="text1"/>
          <w:sz w:val="24"/>
          <w:szCs w:val="24"/>
          <w:highlight w:val="none"/>
          <w14:textFill>
            <w14:solidFill>
              <w14:schemeClr w14:val="tx1"/>
            </w14:solidFill>
          </w14:textFill>
        </w:rPr>
        <w:t xml:space="preserve">和招标文件规定的其他无效情形。</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四、开标</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（二十五）开标：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1.所有投标单位凭CA证书在到达开标时间时，解密各自投标文件。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2.投标人不足3家的，不得开标。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3.开标过程由采购代理机构负责记录。</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4.投标人代表对开标过程和开标记录有疑义的，或者认为采购人、采购代理机构相关工作人员有需要回避情形的，应当场提出询问或者提出回避申请。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5.投标人未参加开标的，视同认可开标结果。</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五、评标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1.评标工作由采购代理机构负责组织，并履行下列职责：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（2）宣布评标纪律；</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（3）公布投标人名单，告知评审专家应当回避的情形；</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（4）组织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委员会推选评标组长（采购人代表不得担任组长）；</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（5）在评标期间采取必要的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通信管理</w:t>
      </w:r>
      <w:r>
        <w:rPr>
          <w:rFonts w:hint="eastAsia" w:ascii="宋体" w:hAnsi="宋体" w:eastAsia="宋体" w:cs="宋体"/>
          <w:color w:val="000000" w:themeColor="text1"/>
          <w:sz w:val="24"/>
          <w:szCs w:val="24"/>
          <w:highlight w:val="none"/>
          <w14:textFill>
            <w14:solidFill>
              <w14:schemeClr w14:val="tx1"/>
            </w14:solidFill>
          </w14:textFill>
        </w:rPr>
        <w:t xml:space="preserve">措施，保证评标活动不受外界干扰；</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（6）根据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委员会的要求介绍政府采购相关政策法规、招标文件；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（7）维护评标秩序，监督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委员会依照招标文件规定的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程序、方法和标准进行独立评审，及时制止和纠正采购人代表、评审专家的倾向性言论或者违法违规行为；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（8）核对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结果，对有《</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"http://www.caigou2003.com/" \o "http://www.caigou2003.com/"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政府采购</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货物和服务招标投标管理办法》第六十四条规定情形的，应要求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委员会复核或者书面说明理由，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委员会拒绝的，应予记录并向本级财政部门报告；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（10）处理与评标有关的其他事项。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委员会负责具体评标事务，并独立履行下列职责：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（1）审查、评价投标文件是否符合招标文件的商务、技术等实质性要求；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（2）要求投标人对投标文件有关事项作出澄清或者说明；</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（3）对投标文件进行比较和评价；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（4）确定中标候选人名单，以及根据采购人委托直接确定中标人；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（5）向采购人、采购代理机构或有关部门报告评标中发现的违法行为。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（二十七）评标方法分为最低评标价法和综合评分法。</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（二十八）评标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1.评标工作程序：</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（1）投标文件初审。</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①资格审查。</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②符合性审查。</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（2）澄清有关问题。</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（3）比较与评价。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（4）推荐中标候选供应商名单。</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（5）编写评审报告（评标报告）。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2.在评标中，不得改变招标文件中规定的评标标准、方法和中标条件。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3.采用</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"http://lilun.caigou2003.com/recijiedu/2365668.html" \o "http://lilun.caigou2003.com/recijiedu/2365668.html"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最低评标价法</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采用</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"http://lilun.caigou2003.com/recijiedu/2365667.html" \o "http://lilun.caigou2003.com/recijiedu/2365667.html"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综合评分法</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非单一产品采购项目，多家投标人提供的核心产品品牌相同的，按前两款规定处理。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（二十九）投标文件报价出现前后不一致的，按照下列规定修正：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2.大写金额和小写金额不一致的，以大写金额为准；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4.总价金额与按单价合计金额不一致的，以单价金额计算结果为准。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委员会认为投标人的报价明显低于其他通过符合性审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查的</w:t>
      </w:r>
      <w:r>
        <w:rPr>
          <w:rFonts w:hint="eastAsia" w:ascii="宋体" w:hAnsi="宋体" w:eastAsia="宋体" w:cs="宋体"/>
          <w:color w:val="000000" w:themeColor="text1"/>
          <w:sz w:val="24"/>
          <w:szCs w:val="24"/>
          <w:highlight w:val="none"/>
          <w14:textFill>
            <w14:solidFill>
              <w14:schemeClr w14:val="tx1"/>
            </w14:solidFill>
          </w14:textFill>
        </w:rPr>
        <w:t xml:space="preserve">投标人的报价，有可能影响产品质量或者不能诚信履约的，应当要求其在评标现场合理的时间内提供书面说明，必要时提交相关证明材料；投标人不能证明其报价合理性的，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委员会应当将其作为无效投标处理。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委员会成员对需要共同认定的事项存在争议的，应当按照少数服从多数的原则作出结论，持不同意见的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委员会成员应当在评标报告上签署不同意见及理由，否则视为同意评标报告。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（三十二）废标条款：</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出现下列情形之一的，应予废标。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1.符合专业条件的供应商或者对招标文件作实质响应的供应商不足三家的；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2.出现影响采购公正的违法、违规行为的；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3.投标人的报价均超过了采购预算，采购人不能支付的；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4.因重大变故，采购任务取消的。</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六、定标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（三十三）采购代理机构应当在评标结束后2个工作日内将评标报告送采购人。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七、政府采购合同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（三十六）签订政府采购合同（合同签订方式）：</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采购人不得向中标人提出任何不合理的要求作为签订合同的条件。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2.中标或者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拒绝与采购人签订合同的，采购人可以按照评审报告推荐的中标或者成交候选人名单排序，确定下一个候选人为中标或者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（三十八）履约保证金：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 中标人应当在评审结果公</w:t>
      </w:r>
      <w:r>
        <w:rPr>
          <w:rFonts w:hint="eastAsia" w:ascii="宋体" w:hAnsi="宋体" w:cs="宋体"/>
          <w:color w:val="000000" w:themeColor="text1"/>
          <w:sz w:val="24"/>
          <w:szCs w:val="24"/>
          <w:highlight w:val="none"/>
          <w:lang w:eastAsia="zh-CN"/>
          <w14:textFill>
            <w14:solidFill>
              <w14:schemeClr w14:val="tx1"/>
            </w14:solidFill>
          </w14:textFill>
        </w:rPr>
        <w:t xml:space="preserve">示之</w:t>
      </w:r>
      <w:r>
        <w:rPr>
          <w:rFonts w:hint="eastAsia" w:ascii="宋体" w:hAnsi="宋体" w:eastAsia="宋体" w:cs="宋体"/>
          <w:color w:val="000000" w:themeColor="text1"/>
          <w:sz w:val="24"/>
          <w:szCs w:val="24"/>
          <w:highlight w:val="none"/>
          <w14:textFill>
            <w14:solidFill>
              <w14:schemeClr w14:val="tx1"/>
            </w14:solidFill>
          </w14:textFill>
        </w:rPr>
        <w:t xml:space="preserve">日起三日内，向采购人提交本文件第三章《投标资料表》中规定金额的履约保证金。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2.如果中标人没有遵守本章（三十八）1 或本章（三十九）的规定，采购代理机构有权取消该中标决定。在此情况下，采购人可以与排位在中标人之后第一位的中标候选人签订政府采购合同，以此类推。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②“欺诈行为”系指为了影响招标、采购和合同执行等过程，隐瞒事实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真相</w:t>
      </w:r>
      <w:r>
        <w:rPr>
          <w:rFonts w:hint="eastAsia" w:ascii="宋体" w:hAnsi="宋体" w:eastAsia="宋体" w:cs="宋体"/>
          <w:color w:val="000000" w:themeColor="text1"/>
          <w:sz w:val="24"/>
          <w:szCs w:val="24"/>
          <w:highlight w:val="none"/>
          <w14:textFill>
            <w14:solidFill>
              <w14:schemeClr w14:val="tx1"/>
            </w14:solidFill>
          </w14:textFill>
        </w:rPr>
        <w:t xml:space="preserve">，给买方、卖方、采购代理机构及他人造成损害的行为，其中包括投标人之间的串通行为。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撤销</w:t>
      </w:r>
      <w:r>
        <w:rPr>
          <w:rFonts w:hint="eastAsia" w:ascii="宋体" w:hAnsi="宋体" w:eastAsia="宋体" w:cs="宋体"/>
          <w:color w:val="000000" w:themeColor="text1"/>
          <w:sz w:val="24"/>
          <w:szCs w:val="24"/>
          <w:highlight w:val="none"/>
          <w14:textFill>
            <w14:solidFill>
              <w14:schemeClr w14:val="tx1"/>
            </w14:solidFill>
          </w14:textFill>
        </w:rPr>
        <w:t xml:space="preserve">其已签署的合同。</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八、询问和质疑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（四十）询问和质疑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供应商对政府采购活动事项有疑问的，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可以</w:t>
      </w:r>
      <w:r>
        <w:rPr>
          <w:rFonts w:hint="eastAsia" w:ascii="宋体" w:hAnsi="宋体" w:eastAsia="宋体" w:cs="宋体"/>
          <w:color w:val="000000" w:themeColor="text1"/>
          <w:sz w:val="24"/>
          <w:szCs w:val="24"/>
          <w:highlight w:val="none"/>
          <w14:textFill>
            <w14:solidFill>
              <w14:schemeClr w14:val="tx1"/>
            </w14:solidFill>
          </w14:textFill>
        </w:rPr>
        <w:t xml:space="preserve">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采购人或</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九、电子招标投标交易平台</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（四十一）电子招标投标交易平台（即“苏采云”系统，网址：http://jszfcg.jsczt.cn/）相关要求是本招标文件的组成部分。</w:t>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第三章  投标资料表</w:t>
      </w:r>
      <w:r/>
    </w:p>
    <w:p>
      <w:pPr>
        <w:pStyle w:val="732"/>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该资料表的条款项号是与《投标人须知》中条款项号对应的，或增加的条款，是对《投标人须知》的补充、修改和完善，如果有矛盾的话，应以本资料表为准。</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bl>
      <w:tblPr>
        <w:tblStyle w:val="70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26"/>
        <w:gridCol w:w="7733"/>
      </w:tblGrid>
      <w:tr>
        <w:trPr>
          <w:jc w:val="center"/>
          <w:trHeight w:val="369"/>
        </w:trPr>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条款项号</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内容</w:t>
            </w:r>
            <w:r/>
          </w:p>
        </w:tc>
      </w:tr>
      <w:tr>
        <w:trPr>
          <w:jc w:val="center"/>
          <w:trHeight w:val="376"/>
        </w:trPr>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jc w:val="center"/>
              <w:keepLines w:val="0"/>
              <w:keepNext w:val="0"/>
              <w:pageBreakBefore w:val="0"/>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一、总则</w:t>
            </w:r>
            <w:r/>
          </w:p>
        </w:tc>
      </w:tr>
      <w:tr>
        <w:trPr>
          <w:jc w:val="center"/>
          <w:trHeight w:val="506"/>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本项目采购人：</w:t>
            </w:r>
            <w:r>
              <w:rPr>
                <w:rFonts w:hint="eastAsia" w:ascii="宋体" w:hAnsi="宋体" w:cs="宋体"/>
                <w:color w:val="000000" w:themeColor="text1"/>
                <w:sz w:val="24"/>
                <w:highlight w:val="none"/>
                <w:lang w:eastAsia="zh-CN"/>
                <w14:textFill>
                  <w14:solidFill>
                    <w14:schemeClr w14:val="tx1"/>
                  </w14:solidFill>
                </w14:textFill>
              </w:rPr>
              <w:t xml:space="preserve">睢宁县桃园镇人民政府</w:t>
            </w:r>
            <w:r>
              <w:rPr>
                <w:rFonts w:hint="eastAsia" w:ascii="宋体" w:hAnsi="宋体" w:eastAsia="宋体" w:cs="宋体"/>
                <w:color w:val="000000" w:themeColor="text1"/>
                <w:sz w:val="24"/>
                <w:highlight w:val="none"/>
                <w14:textFill>
                  <w14:solidFill>
                    <w14:schemeClr w14:val="tx1"/>
                  </w14:solidFill>
                </w14:textFill>
              </w:rPr>
              <w:t xml:space="preserve"> </w:t>
            </w:r>
            <w:r/>
          </w:p>
        </w:tc>
      </w:tr>
      <w:tr>
        <w:trPr>
          <w:jc w:val="center"/>
          <w:trHeight w:val="421"/>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本次采购采用的政府采购方式：公开招标。</w:t>
            </w:r>
            <w:r/>
          </w:p>
        </w:tc>
      </w:tr>
      <w:tr>
        <w:trPr>
          <w:jc w:val="center"/>
          <w:trHeight w:val="884"/>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采购人确定的采购项目属性：</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货物</w:t>
            </w:r>
            <w:r/>
          </w:p>
          <w:p>
            <w:pPr>
              <w:keepLines w:val="0"/>
              <w:keepNext w:val="0"/>
              <w:pageBreakBefore w:val="0"/>
              <w:spacing w:line="288" w:lineRule="auto"/>
              <w:widowControl w:val="off"/>
              <w:rPr>
                <w:rFonts w:hint="eastAsia"/>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本项目是否为专门面向中小微企业采购的项目：</w:t>
            </w:r>
            <w:r>
              <w:rPr>
                <w:rFonts w:hint="eastAsia" w:ascii="宋体" w:hAnsi="宋体" w:cs="宋体"/>
                <w:b/>
                <w:bCs/>
                <w:color w:val="000000" w:themeColor="text1"/>
                <w:sz w:val="24"/>
                <w:highlight w:val="none"/>
                <w:lang w:val="en-US" w:eastAsia="zh-CN"/>
                <w14:textFill>
                  <w14:solidFill>
                    <w14:schemeClr w14:val="tx1"/>
                  </w14:solidFill>
                </w14:textFill>
              </w:rPr>
              <w:t xml:space="preserve">否</w:t>
            </w:r>
            <w:r/>
          </w:p>
        </w:tc>
      </w:tr>
      <w:tr>
        <w:trPr>
          <w:jc w:val="center"/>
          <w:trHeight w:val="544"/>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本项目采购代理机构：</w:t>
            </w:r>
            <w:r>
              <w:rPr>
                <w:rFonts w:hint="eastAsia" w:ascii="宋体" w:hAnsi="宋体" w:cs="宋体"/>
                <w:color w:val="000000" w:themeColor="text1"/>
                <w:sz w:val="24"/>
                <w:highlight w:val="none"/>
                <w:lang w:eastAsia="zh-CN"/>
                <w14:textFill>
                  <w14:solidFill>
                    <w14:schemeClr w14:val="tx1"/>
                  </w14:solidFill>
                </w14:textFill>
              </w:rPr>
              <w:t xml:space="preserve">江苏伟业项目管理有限公司</w:t>
            </w: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jc w:val="both"/>
              <w:spacing w:line="400" w:lineRule="exact"/>
              <w:widowControl w:val="off"/>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投标人的资格条件：</w:t>
            </w:r>
            <w:r/>
          </w:p>
          <w:p>
            <w:pPr>
              <w:jc w:val="both"/>
              <w:spacing w:line="400" w:lineRule="exact"/>
              <w:widowControl w:val="off"/>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一、符合《中华人民共和国政府采购法》第二十二条的规定。</w:t>
            </w:r>
            <w:r/>
          </w:p>
          <w:p>
            <w:pPr>
              <w:spacing w:line="312" w:lineRule="auto"/>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二、落实政府采购政策需满足的资格要求：</w:t>
            </w:r>
            <w:r>
              <w:rPr>
                <w:rFonts w:hint="eastAsia" w:ascii="宋体" w:hAnsi="宋体" w:cs="宋体"/>
                <w:b/>
                <w:bCs/>
                <w:color w:val="auto"/>
                <w:sz w:val="24"/>
                <w:highlight w:val="none"/>
                <w:shd w:val="clear" w:color="auto" w:fill="auto"/>
              </w:rPr>
              <w:t xml:space="preserve">本项目不属于专门面向中小企业采购的项目。</w:t>
            </w:r>
            <w:r/>
          </w:p>
          <w:p>
            <w:pPr>
              <w:pStyle w:val="745"/>
              <w:jc w:val="both"/>
              <w:spacing w:beforeAutospacing="0" w:afterAutospacing="0" w:line="10" w:lineRule="atLeast"/>
              <w:widowControl/>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三、本项目的特定资格要求：</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无</w:t>
            </w:r>
            <w:r/>
          </w:p>
          <w:p>
            <w:pPr>
              <w:jc w:val="left"/>
              <w:spacing w:line="400" w:lineRule="exact"/>
              <w:widowControl w:val="off"/>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同时明确相关事项如下：</w:t>
            </w:r>
            <w:r/>
          </w:p>
          <w:p>
            <w:pPr>
              <w:pStyle w:val="721"/>
              <w:jc w:val="left"/>
              <w:spacing w:line="400" w:lineRule="exact"/>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1、本项目不接受联合体参与采购活动。</w:t>
            </w:r>
            <w:r/>
          </w:p>
          <w:p>
            <w:pPr>
              <w:pStyle w:val="721"/>
              <w:jc w:val="left"/>
              <w:spacing w:line="400" w:lineRule="exact"/>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2、单位负责人为同一人或者存在直接控股、管理关系的不同供应商，不得参加同一合同项下的政府采购活动。</w:t>
            </w:r>
            <w:r/>
          </w:p>
          <w:p>
            <w:pPr>
              <w:pStyle w:val="721"/>
              <w:jc w:val="left"/>
              <w:spacing w:line="400" w:lineRule="exact"/>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3、为本采购项目提供整体设计、规范编制或者项目管理、监理、检测等服务的供应商，不得再参加本采购项目的采购活动。</w:t>
            </w:r>
            <w:r/>
          </w:p>
          <w:p>
            <w:pPr>
              <w:pStyle w:val="721"/>
              <w:jc w:val="left"/>
              <w:spacing w:line="400" w:lineRule="exact"/>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4、查询及使用供应商信用记录：</w:t>
            </w:r>
            <w:r/>
          </w:p>
          <w:p>
            <w:pPr>
              <w:pStyle w:val="721"/>
              <w:jc w:val="left"/>
              <w:spacing w:line="400" w:lineRule="exact"/>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由采购人查询信用信息。</w:t>
            </w:r>
            <w:r/>
          </w:p>
          <w:p>
            <w:pPr>
              <w:pStyle w:val="721"/>
              <w:jc w:val="left"/>
              <w:spacing w:line="400" w:lineRule="exact"/>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查询渠道包括：</w:t>
            </w:r>
            <w:r/>
          </w:p>
          <w:p>
            <w:pPr>
              <w:pStyle w:val="721"/>
              <w:jc w:val="left"/>
              <w:spacing w:line="400" w:lineRule="exact"/>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①“信用中国”网（</w:t>
            </w:r>
            <w:r>
              <w:rPr>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instrText xml:space="preserve"> HYPERLINK "http://www.creditchina.gov.cn/" \o "http://www.creditchina.gov.cn/" </w:instrText>
            </w:r>
            <w:r>
              <w:rPr>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www.creditchina.gov.cn</w:t>
            </w:r>
            <w:r>
              <w:rPr>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t>
            </w:r>
            <w:r/>
          </w:p>
          <w:p>
            <w:pPr>
              <w:pStyle w:val="721"/>
              <w:jc w:val="left"/>
              <w:spacing w:line="400" w:lineRule="exact"/>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②中国政府采购网（</w:t>
            </w:r>
            <w:r>
              <w:rPr>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instrText xml:space="preserve"> HYPERLINK "http://www.ccgp.gov.cn/" \o "http://www.ccgp.gov.cn/" </w:instrText>
            </w:r>
            <w:r>
              <w:rPr>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www.ccgp.gov.cn</w:t>
            </w:r>
            <w:r>
              <w:rPr>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t>
            </w:r>
            <w:r/>
          </w:p>
          <w:p>
            <w:pPr>
              <w:pStyle w:val="721"/>
              <w:jc w:val="left"/>
              <w:spacing w:line="400" w:lineRule="exact"/>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③“信用江苏”网（http://credit.jiangsu.gov.cn/）；</w:t>
            </w:r>
            <w:r/>
          </w:p>
          <w:p>
            <w:pPr>
              <w:pStyle w:val="721"/>
              <w:jc w:val="left"/>
              <w:spacing w:line="400" w:lineRule="exact"/>
              <w:rPr>
                <w:rFonts w:eastAsia="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④“信用中国（</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江苏</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徐州）”网（http://www.xuzhoucredit.gov.cn）；</w:t>
            </w:r>
            <w:r/>
          </w:p>
          <w:p>
            <w:pPr>
              <w:pStyle w:val="721"/>
              <w:jc w:val="left"/>
              <w:spacing w:line="400" w:lineRule="exact"/>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截止时点（查询环节）：开标后资格审查结束前。</w:t>
            </w:r>
            <w:r/>
          </w:p>
          <w:p>
            <w:pPr>
              <w:pStyle w:val="721"/>
              <w:jc w:val="left"/>
              <w:spacing w:line="400" w:lineRule="exact"/>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信用信息查询记录和证据留存的具体方式：网页截屏打印，与其他采购文件一并保存。</w:t>
            </w:r>
            <w:r/>
          </w:p>
          <w:p>
            <w:pPr>
              <w:pStyle w:val="721"/>
              <w:jc w:val="left"/>
              <w:spacing w:line="400" w:lineRule="exact"/>
              <w:rPr>
                <w:rFonts w:hint="eastAsia" w:ascii="宋体" w:hAnsi="宋体" w:eastAsia="宋体" w:cs="宋体"/>
                <w:color w:val="000000" w:themeColor="text1"/>
                <w:sz w:val="24"/>
                <w:szCs w:val="24"/>
                <w:highlight w:val="none"/>
                <w:lang w:val="en-US" w:eastAsia="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信用信息的使用规则：</w:t>
            </w:r>
            <w:r/>
          </w:p>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招标代理服务费由中标人支付，</w:t>
            </w:r>
            <w:r>
              <w:rPr>
                <w:rFonts w:hint="eastAsia" w:ascii="宋体" w:hAnsi="宋体" w:cs="宋体"/>
                <w:color w:val="auto"/>
                <w:sz w:val="24"/>
                <w:highlight w:val="none"/>
                <w:shd w:val="clear" w:color="auto" w:fill="auto"/>
                <w:lang w:eastAsia="zh-CN"/>
              </w:rPr>
              <w:t xml:space="preserve">标准按</w:t>
            </w:r>
            <w:r>
              <w:rPr>
                <w:rFonts w:hint="eastAsia" w:ascii="宋体" w:hAnsi="宋体" w:cs="宋体"/>
                <w:color w:val="auto"/>
                <w:sz w:val="24"/>
                <w:highlight w:val="none"/>
                <w:shd w:val="clear" w:color="auto" w:fill="auto"/>
              </w:rPr>
              <w:t xml:space="preserve">《招标代理服务收费标准》</w:t>
            </w:r>
            <w:r>
              <w:rPr>
                <w:rFonts w:hint="eastAsia" w:ascii="宋体" w:hAnsi="宋体" w:eastAsia="宋体" w:cs="宋体"/>
                <w:color w:val="000000" w:themeColor="text1"/>
                <w:sz w:val="24"/>
                <w:highlight w:val="none"/>
                <w14:textFill>
                  <w14:solidFill>
                    <w14:schemeClr w14:val="tx1"/>
                  </w14:solidFill>
                </w14:textFill>
              </w:rPr>
              <w:t xml:space="preserve">（见附件）。</w:t>
            </w:r>
            <w:r/>
          </w:p>
        </w:tc>
      </w:tr>
      <w:tr>
        <w:trPr>
          <w:jc w:val="center"/>
          <w:trHeight w:val="383"/>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二、招标</w:t>
            </w: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keepLines w:val="0"/>
              <w:keepNext w:val="0"/>
              <w:pageBreakBefore w:val="0"/>
              <w:spacing w:line="312"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ind w:firstLine="48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宋体" w:hAnsi="宋体" w:eastAsia="宋体" w:cs="宋体"/>
                <w:bCs/>
                <w:color w:val="000000" w:themeColor="text1"/>
                <w:sz w:val="24"/>
                <w:highlight w:val="none"/>
                <w14:textFill>
                  <w14:solidFill>
                    <w14:schemeClr w14:val="tx1"/>
                  </w14:solidFill>
                </w14:textFill>
              </w:rPr>
              <w:t xml:space="preserve">并通过“苏采云”系统重新下载更正（澄清）后的采购文件（后缀名为“.kedt”），离线编制投标文件，</w:t>
            </w:r>
            <w:r>
              <w:rPr>
                <w:rFonts w:hint="eastAsia" w:ascii="宋体" w:hAnsi="宋体" w:eastAsia="宋体" w:cs="宋体"/>
                <w:color w:val="000000" w:themeColor="text1"/>
                <w:sz w:val="24"/>
                <w:highlight w:val="none"/>
                <w14:textFill>
                  <w14:solidFill>
                    <w14:schemeClr w14:val="tx1"/>
                  </w14:solidFill>
                </w14:textFill>
              </w:rPr>
              <w:t xml:space="preserve">否则，将自行承担相应的风险。</w:t>
            </w:r>
            <w:r/>
          </w:p>
        </w:tc>
      </w:tr>
      <w:tr>
        <w:trPr>
          <w:jc w:val="center"/>
          <w:trHeight w:val="485"/>
        </w:trPr>
        <w:tc>
          <w:tcPr>
            <w:tcBorders>
              <w:top w:val="single" w:color="auto" w:sz="4" w:space="0"/>
              <w:left w:val="single" w:color="auto" w:sz="4" w:space="0"/>
              <w:bottom w:val="single" w:color="auto" w:sz="4" w:space="0"/>
              <w:right w:val="single" w:color="auto" w:sz="4" w:space="0"/>
            </w:tcBorders>
            <w:tcW w:w="1426" w:type="dxa"/>
            <w:vAlign w:val="top"/>
            <w:textDirection w:val="lrTb"/>
            <w:noWrap w:val="false"/>
          </w:tcPr>
          <w:p>
            <w:pPr>
              <w:pStyle w:val="721"/>
              <w:ind w:firstLine="200"/>
              <w:jc w:val="center"/>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(九)2</w:t>
            </w:r>
            <w:r/>
          </w:p>
        </w:tc>
        <w:tc>
          <w:tcPr>
            <w:tcBorders>
              <w:top w:val="single" w:color="auto" w:sz="4" w:space="0"/>
              <w:left w:val="single" w:color="auto" w:sz="4" w:space="0"/>
              <w:bottom w:val="single" w:color="auto" w:sz="4" w:space="0"/>
              <w:right w:val="single" w:color="auto" w:sz="4" w:space="0"/>
            </w:tcBorders>
            <w:tcW w:w="7733" w:type="dxa"/>
            <w:vAlign w:val="top"/>
            <w:textDirection w:val="lrTb"/>
            <w:noWrap w:val="false"/>
          </w:tcPr>
          <w:p>
            <w:pPr>
              <w:pStyle w:val="721"/>
              <w:ind w:firstLine="200"/>
              <w:spacing w:line="400" w:lineRule="exact"/>
              <w:tabs>
                <w:tab w:val="left" w:pos="576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不安排现场考察。</w:t>
            </w:r>
            <w:r/>
          </w:p>
        </w:tc>
      </w:tr>
      <w:tr>
        <w:trPr>
          <w:jc w:val="center"/>
          <w:trHeight w:val="485"/>
        </w:trPr>
        <w:tc>
          <w:tcPr>
            <w:tcBorders>
              <w:top w:val="single" w:color="auto" w:sz="4" w:space="0"/>
              <w:left w:val="single" w:color="auto" w:sz="4" w:space="0"/>
              <w:bottom w:val="single" w:color="auto" w:sz="4" w:space="0"/>
              <w:right w:val="single" w:color="auto" w:sz="4" w:space="0"/>
            </w:tcBorders>
            <w:tcW w:w="1426" w:type="dxa"/>
            <w:vAlign w:val="top"/>
            <w:textDirection w:val="lrTb"/>
            <w:noWrap w:val="false"/>
          </w:tcPr>
          <w:p>
            <w:pPr>
              <w:pStyle w:val="721"/>
              <w:ind w:firstLine="200"/>
              <w:jc w:val="center"/>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(九)3</w:t>
            </w:r>
            <w:r/>
          </w:p>
        </w:tc>
        <w:tc>
          <w:tcPr>
            <w:tcBorders>
              <w:top w:val="single" w:color="auto" w:sz="4" w:space="0"/>
              <w:left w:val="single" w:color="auto" w:sz="4" w:space="0"/>
              <w:bottom w:val="single" w:color="auto" w:sz="4" w:space="0"/>
              <w:right w:val="single" w:color="auto" w:sz="4" w:space="0"/>
            </w:tcBorders>
            <w:tcW w:w="7733" w:type="dxa"/>
            <w:vAlign w:val="top"/>
            <w:textDirection w:val="lrTb"/>
            <w:noWrap w:val="false"/>
          </w:tcPr>
          <w:p>
            <w:pPr>
              <w:pStyle w:val="721"/>
              <w:ind w:firstLine="2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不安排开标前答疑会。</w:t>
            </w:r>
            <w:r/>
          </w:p>
        </w:tc>
      </w:tr>
      <w:tr>
        <w:trPr>
          <w:jc w:val="center"/>
          <w:trHeight w:val="451"/>
        </w:trPr>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三、投标</w:t>
            </w:r>
            <w:r/>
          </w:p>
        </w:tc>
      </w:tr>
      <w:tr>
        <w:trPr>
          <w:jc w:val="center"/>
          <w:trHeight w:val="544"/>
        </w:trPr>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十一</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投标文件的语言为中文</w:t>
            </w: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十二</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p>
          <w:p>
            <w:pPr>
              <w:pStyle w:val="759"/>
              <w:jc w:val="center"/>
              <w:rPr>
                <w:rFonts w:hint="default"/>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（十二）2</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投标文件编制要求</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请按照以下要求（包括但不限于以下要求）制作：</w:t>
            </w:r>
            <w:r/>
          </w:p>
          <w:p>
            <w:pPr>
              <w:keepLines w:val="0"/>
              <w:keepNext w:val="0"/>
              <w:pageBreakBefore w:val="0"/>
              <w:spacing w:line="312"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一、基本目录</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1.《开标一览表》（加盖电子签章，政府采购客户端工具输入报价自动生成）；</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2.《授权委托书》（提供原件的扫描件，加盖电子签章，格式见招标文件第七章《投标文件相关格式》）；</w:t>
            </w:r>
            <w:r/>
          </w:p>
          <w:p>
            <w:pPr>
              <w:pStyle w:val="719"/>
              <w:numPr>
                <w:ilvl w:val="0"/>
                <w:numId w:val="0"/>
              </w:numPr>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.所投产品的环境标志产品认证证书的扫描件（如有）。</w:t>
            </w:r>
            <w:r/>
          </w:p>
          <w:p>
            <w:pPr>
              <w:pStyle w:val="719"/>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p>
          <w:p>
            <w:pPr>
              <w:pStyle w:val="719"/>
              <w:ind w:firstLine="2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pStyle w:val="719"/>
              <w:ind w:firstLine="2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（2）环境标志产品认证证书是否符合要求，采购人评标时查询中国政府采购网（www.ccgp.gov.cn）相关内容后确定。</w:t>
            </w:r>
            <w:r/>
          </w:p>
          <w:p>
            <w:pPr>
              <w:pStyle w:val="719"/>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.所投产品的节能产品认证证书的扫描件（如有）。</w:t>
            </w:r>
            <w:r/>
          </w:p>
          <w:p>
            <w:pPr>
              <w:pStyle w:val="719"/>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p>
          <w:p>
            <w:pPr>
              <w:pStyle w:val="719"/>
              <w:ind w:firstLine="240"/>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pStyle w:val="720"/>
              <w:keepLines w:val="0"/>
              <w:keepNext w:val="0"/>
              <w:pageBreakBefore w:val="0"/>
              <w:spacing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（2）节能产品认证证书是否符合要求，采购人评标时查询中国政府采购网（www.ccgp.gov.cn）相关内容后确定。</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二、资格条件</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b/>
                <w:color w:val="auto"/>
                <w:sz w:val="24"/>
                <w:szCs w:val="24"/>
                <w:highlight w:val="none"/>
                <w:shd w:val="clear" w:color="auto" w:fill="auto"/>
              </w:rPr>
              <w:t xml:space="preserve">以下1-</w:t>
            </w:r>
            <w:r>
              <w:rPr>
                <w:rFonts w:hint="eastAsia" w:ascii="宋体" w:hAnsi="宋体" w:cs="宋体"/>
                <w:b/>
                <w:color w:val="auto"/>
                <w:sz w:val="24"/>
                <w:szCs w:val="24"/>
                <w:highlight w:val="none"/>
                <w:shd w:val="clear" w:color="auto" w:fill="auto"/>
                <w:lang w:val="en-US" w:eastAsia="zh-CN"/>
              </w:rPr>
              <w:t xml:space="preserve">7</w:t>
            </w:r>
            <w:r>
              <w:rPr>
                <w:rFonts w:hint="eastAsia" w:ascii="宋体" w:hAnsi="宋体" w:cs="宋体"/>
                <w:b/>
                <w:color w:val="auto"/>
                <w:sz w:val="24"/>
                <w:szCs w:val="24"/>
                <w:highlight w:val="none"/>
                <w:shd w:val="clear" w:color="auto" w:fill="auto"/>
              </w:rPr>
              <w:t xml:space="preserve">必须提供且加盖电子签章，否则投标无效</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1.投标人合法有效的法人或者其他组织的营业执照等证明文件，自然人的身份证明。</w:t>
            </w:r>
            <w:r>
              <w:rPr>
                <w:rFonts w:hint="eastAsia" w:ascii="宋体" w:hAnsi="宋体" w:eastAsia="宋体" w:cs="宋体"/>
                <w:b/>
                <w:bCs/>
                <w:color w:val="000000" w:themeColor="text1"/>
                <w:sz w:val="24"/>
                <w:highlight w:val="none"/>
                <w14:textFill>
                  <w14:solidFill>
                    <w14:schemeClr w14:val="tx1"/>
                  </w14:solidFill>
                </w14:textFill>
              </w:rPr>
              <w:t xml:space="preserve">以上证明文件提供</w:t>
            </w:r>
            <w:r>
              <w:rPr>
                <w:rFonts w:hint="eastAsia" w:ascii="宋体" w:hAnsi="宋体" w:cs="宋体"/>
                <w:b/>
                <w:bCs/>
                <w:color w:val="000000" w:themeColor="text1"/>
                <w:sz w:val="24"/>
                <w:highlight w:val="none"/>
                <w:lang w:val="en-US" w:eastAsia="zh-CN"/>
                <w14:textFill>
                  <w14:solidFill>
                    <w14:schemeClr w14:val="tx1"/>
                  </w14:solidFill>
                </w14:textFill>
              </w:rPr>
              <w:t xml:space="preserve">原件</w:t>
            </w:r>
            <w:r>
              <w:rPr>
                <w:rFonts w:hint="eastAsia" w:ascii="宋体" w:hAnsi="宋体" w:eastAsia="宋体" w:cs="宋体"/>
                <w:b/>
                <w:bCs/>
                <w:color w:val="000000" w:themeColor="text1"/>
                <w:sz w:val="24"/>
                <w:highlight w:val="none"/>
                <w14:textFill>
                  <w14:solidFill>
                    <w14:schemeClr w14:val="tx1"/>
                  </w14:solidFill>
                </w14:textFill>
              </w:rPr>
              <w:t xml:space="preserve">的扫描件</w:t>
            </w:r>
            <w:r>
              <w:rPr>
                <w:rFonts w:hint="eastAsia" w:ascii="宋体" w:hAnsi="宋体" w:cs="宋体"/>
                <w:color w:val="000000" w:themeColor="text1"/>
                <w:sz w:val="24"/>
                <w:highlight w:val="none"/>
                <w:lang w:eastAsia="zh-CN"/>
                <w14:textFill>
                  <w14:solidFill>
                    <w14:schemeClr w14:val="tx1"/>
                  </w14:solidFill>
                </w14:textFill>
              </w:rPr>
              <w:t xml:space="preserve">，加盖电子签章。</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b/>
                <w:bCs/>
                <w:color w:val="000000" w:themeColor="text1"/>
                <w:sz w:val="24"/>
                <w:highlight w:val="none"/>
                <w14:textFill>
                  <w14:solidFill>
                    <w14:schemeClr w14:val="tx1"/>
                  </w14:solidFill>
                </w14:textFill>
              </w:rPr>
              <w:t xml:space="preserve">财务状况报告</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（即提供投标人的本项目开标时间前6个月内</w:t>
            </w:r>
            <w:r>
              <w:rPr>
                <w:rFonts w:hint="eastAsia" w:ascii="宋体" w:hAnsi="宋体" w:cs="宋体"/>
                <w:b w:val="0"/>
                <w:bCs/>
                <w:color w:val="auto"/>
                <w:sz w:val="24"/>
                <w:szCs w:val="24"/>
                <w:highlight w:val="none"/>
                <w:shd w:val="clear" w:color="auto" w:fill="auto"/>
              </w:rPr>
              <w:t xml:space="preserve">（不含开标当月）</w:t>
            </w:r>
            <w:r>
              <w:rPr>
                <w:rFonts w:hint="eastAsia" w:ascii="宋体" w:hAnsi="宋体" w:eastAsia="宋体" w:cs="宋体"/>
                <w:color w:val="000000" w:themeColor="text1"/>
                <w:sz w:val="24"/>
                <w:highlight w:val="none"/>
                <w14:textFill>
                  <w14:solidFill>
                    <w14:schemeClr w14:val="tx1"/>
                  </w14:solidFill>
                </w14:textFill>
              </w:rPr>
              <w:t xml:space="preserve">任何时间的资产负债表、利润表各一份或提供投标人上年度财务报告或投标人的本项目开标时间前6个月内</w:t>
            </w:r>
            <w:r>
              <w:rPr>
                <w:rFonts w:hint="eastAsia" w:ascii="宋体" w:hAnsi="宋体" w:cs="宋体"/>
                <w:b w:val="0"/>
                <w:bCs/>
                <w:color w:val="auto"/>
                <w:sz w:val="24"/>
                <w:szCs w:val="24"/>
                <w:highlight w:val="none"/>
                <w:shd w:val="clear" w:color="auto" w:fill="auto"/>
              </w:rPr>
              <w:t xml:space="preserve">（不含开标当月）</w:t>
            </w:r>
            <w:r>
              <w:rPr>
                <w:rFonts w:hint="eastAsia" w:ascii="宋体" w:hAnsi="宋体" w:eastAsia="宋体" w:cs="宋体"/>
                <w:color w:val="000000" w:themeColor="text1"/>
                <w:sz w:val="24"/>
                <w:highlight w:val="none"/>
                <w14:textFill>
                  <w14:solidFill>
                    <w14:schemeClr w14:val="tx1"/>
                  </w14:solidFill>
                </w14:textFill>
              </w:rPr>
              <w:t xml:space="preserve">银行出具的资信证明扫描件）加盖电子签章；</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b/>
                <w:bCs/>
                <w:color w:val="000000" w:themeColor="text1"/>
                <w:sz w:val="24"/>
                <w:highlight w:val="none"/>
                <w14:textFill>
                  <w14:solidFill>
                    <w14:schemeClr w14:val="tx1"/>
                  </w14:solidFill>
                </w14:textFill>
              </w:rPr>
              <w:t xml:space="preserve">投标人依法缴纳税收和社会保障资金的记录</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721"/>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投标人的本项目开标时间前6个月内</w:t>
            </w:r>
            <w:r>
              <w:rPr>
                <w:rFonts w:hint="eastAsia" w:ascii="宋体" w:hAnsi="宋体" w:cs="宋体"/>
                <w:b w:val="0"/>
                <w:bCs/>
                <w:color w:val="auto"/>
                <w:sz w:val="24"/>
                <w:szCs w:val="24"/>
                <w:highlight w:val="none"/>
                <w:shd w:val="clear" w:color="auto" w:fill="auto"/>
              </w:rPr>
              <w:t xml:space="preserve">（不含开标当月）</w:t>
            </w:r>
            <w:r>
              <w:rPr>
                <w:rFonts w:hint="eastAsia" w:ascii="宋体" w:hAnsi="宋体" w:eastAsia="宋体" w:cs="宋体"/>
                <w:color w:val="000000" w:themeColor="text1"/>
                <w:sz w:val="24"/>
                <w:szCs w:val="24"/>
                <w:highlight w:val="none"/>
                <w14:textFill>
                  <w14:solidFill>
                    <w14:schemeClr w14:val="tx1"/>
                  </w14:solidFill>
                </w14:textFill>
              </w:rPr>
              <w:t xml:space="preserve">任何1个月的依法缴纳税收和社会保障资金的相关材料扫描件（依法免税或不需要缴纳社会保障资金的供应商,提供相应文件证明其依法免税或不需要缴纳社会保障资金)；</w:t>
            </w:r>
            <w:r>
              <w:rPr>
                <w:rFonts w:hint="eastAsia" w:ascii="宋体" w:hAnsi="宋体" w:cs="宋体"/>
                <w:color w:val="000000" w:themeColor="text1"/>
                <w:sz w:val="24"/>
                <w:highlight w:val="none"/>
                <w:lang w:eastAsia="zh-CN"/>
                <w14:textFill>
                  <w14:solidFill>
                    <w14:schemeClr w14:val="tx1"/>
                  </w14:solidFill>
                </w14:textFill>
              </w:rPr>
              <w:t xml:space="preserve">加盖电子签章。</w:t>
            </w:r>
            <w:r/>
          </w:p>
          <w:p>
            <w:pPr>
              <w:ind w:right="0"/>
              <w:jc w:val="both"/>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4.</w:t>
            </w:r>
            <w:r>
              <w:rPr>
                <w:rFonts w:hint="eastAsia" w:ascii="宋体" w:hAnsi="宋体" w:eastAsia="宋体" w:cs="宋体"/>
                <w:b/>
                <w:bCs/>
                <w:color w:val="000000" w:themeColor="text1"/>
                <w:sz w:val="24"/>
                <w:highlight w:val="none"/>
                <w14:textFill>
                  <w14:solidFill>
                    <w14:schemeClr w14:val="tx1"/>
                  </w14:solidFill>
                </w14:textFill>
              </w:rPr>
              <w:t xml:space="preserve">具备履行合同所必需的设备和专业技术能力的证明材料</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即投标文件中提供《</w:t>
            </w:r>
            <w:bookmarkStart w:id="0" w:name="_Toc515551102"/>
            <w:r>
              <w:rPr>
                <w:rFonts w:hint="eastAsia" w:ascii="宋体" w:hAnsi="宋体" w:eastAsia="宋体" w:cs="宋体"/>
                <w:color w:val="000000" w:themeColor="text1"/>
                <w:sz w:val="24"/>
                <w:highlight w:val="none"/>
                <w14:textFill>
                  <w14:solidFill>
                    <w14:schemeClr w14:val="tx1"/>
                  </w14:solidFill>
                </w14:textFill>
              </w:rPr>
              <w:t xml:space="preserve">具备履行合同所必需的设备和专业技术能力的书面声明</w:t>
            </w:r>
            <w:bookmarkEnd w:id="0"/>
            <w:r>
              <w:rPr>
                <w:rFonts w:hint="eastAsia" w:ascii="宋体" w:hAnsi="宋体" w:eastAsia="宋体" w:cs="宋体"/>
                <w:color w:val="000000" w:themeColor="text1"/>
                <w:sz w:val="24"/>
                <w:highlight w:val="none"/>
                <w14:textFill>
                  <w14:solidFill>
                    <w14:schemeClr w14:val="tx1"/>
                  </w14:solidFill>
                </w14:textFill>
              </w:rPr>
              <w:t xml:space="preserve">》（加盖电子签章，格式见招标文件第七章《投标文件相关格式》）。</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7.投标人不是为本采购项目提供整体设计、规范编制或者项目管理、监理、检测等服务的供应商的书面声明。（加盖电子签章，格式见招标文件第七章《投标文件相关格式》）。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8.投标人信用信息（要求见本章条款项号“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中“4”</w:t>
            </w:r>
            <w:r>
              <w:rPr>
                <w:rFonts w:hint="eastAsia" w:ascii="宋体" w:hAnsi="宋体" w:eastAsia="宋体" w:cs="宋体"/>
                <w:color w:val="000000" w:themeColor="text1"/>
                <w:sz w:val="24"/>
                <w:highlight w:val="none"/>
                <w14:textFill>
                  <w14:solidFill>
                    <w14:schemeClr w14:val="tx1"/>
                  </w14:solidFill>
                </w14:textFill>
              </w:rPr>
              <w:t xml:space="preserve">内容）。</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三、符合条件</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必须提供，否则投标无效</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（一）报价</w:t>
            </w:r>
            <w:r/>
          </w:p>
          <w:p>
            <w:pPr>
              <w:pStyle w:val="720"/>
              <w:jc w:val="both"/>
              <w:keepLines w:val="0"/>
              <w:keepNext w:val="0"/>
              <w:pageBreakBefore w:val="0"/>
              <w:spacing w:after="0" w:line="312"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1、《开标一览表》（加盖电子签章，格式见招标文件第七章《投标文件相关格式》；）</w:t>
            </w:r>
            <w:r/>
          </w:p>
          <w:p>
            <w:pPr>
              <w:pStyle w:val="720"/>
              <w:jc w:val="both"/>
              <w:keepLines w:val="0"/>
              <w:keepNext w:val="0"/>
              <w:pageBreakBefore w:val="0"/>
              <w:spacing w:after="0" w:line="312"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2、《分项价格表》（加盖电子签章，格式见招标文件第七章《投标文件相关格式》。）</w:t>
            </w:r>
            <w:r/>
          </w:p>
          <w:p>
            <w:pPr>
              <w:pStyle w:val="720"/>
              <w:jc w:val="both"/>
              <w:keepLines w:val="0"/>
              <w:keepNext w:val="0"/>
              <w:pageBreakBefore w:val="0"/>
              <w:spacing w:after="0" w:line="312"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（二）商务资信</w:t>
            </w:r>
            <w:r/>
          </w:p>
          <w:p>
            <w:pPr>
              <w:pStyle w:val="720"/>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.《投标函》（加盖电子签章，格式见招标文件第七章《投标文件相关格式》）；</w:t>
            </w:r>
            <w:r/>
          </w:p>
          <w:p>
            <w:pPr>
              <w:pStyle w:val="720"/>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《授权委托书》（加盖电子签章，格式见招标文件第七章《投标文件相关格式》）</w:t>
            </w:r>
            <w:r>
              <w:rPr>
                <w:rFonts w:hint="eastAsia" w:ascii="宋体" w:hAnsi="宋体" w:eastAsia="宋体" w:cs="宋体"/>
                <w:color w:val="000000" w:themeColor="text1"/>
                <w:sz w:val="24"/>
                <w:highlight w:val="none"/>
                <w:lang w:eastAsia="zh-CN"/>
                <w14:textFill>
                  <w14:solidFill>
                    <w14:schemeClr w14:val="tx1"/>
                  </w14:solidFill>
                </w14:textFill>
              </w:rPr>
              <w:t xml:space="preserve">。    </w:t>
            </w:r>
            <w:r/>
          </w:p>
          <w:p>
            <w:pPr>
              <w:pStyle w:val="720"/>
              <w:jc w:val="both"/>
              <w:keepLines w:val="0"/>
              <w:keepNext w:val="0"/>
              <w:pageBreakBefore w:val="0"/>
              <w:spacing w:after="0" w:line="312"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（三）技术响应</w:t>
            </w:r>
            <w:r/>
          </w:p>
          <w:p>
            <w:pPr>
              <w:pStyle w:val="720"/>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.《偏离表》（加盖电子签章，格式见招标文件第七章《投标文件相关格式》）。</w:t>
            </w:r>
            <w:r/>
          </w:p>
          <w:p>
            <w:pPr>
              <w:pStyle w:val="720"/>
              <w:jc w:val="both"/>
              <w:keepLines w:val="0"/>
              <w:keepNext w:val="0"/>
              <w:pageBreakBefore w:val="0"/>
              <w:spacing w:after="0" w:line="312"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四</w:t>
            </w: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、综合评审评分项</w:t>
            </w:r>
            <w:r/>
          </w:p>
          <w:p>
            <w:pPr>
              <w:pStyle w:val="720"/>
              <w:jc w:val="both"/>
              <w:keepLines w:val="0"/>
              <w:keepNext w:val="0"/>
              <w:pageBreakBefore w:val="0"/>
              <w:spacing w:after="0" w:line="312"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（一）技术部分</w:t>
            </w:r>
            <w:r/>
          </w:p>
          <w:p>
            <w:pPr>
              <w:pStyle w:val="720"/>
              <w:jc w:val="both"/>
              <w:keepLines w:val="0"/>
              <w:keepNext w:val="0"/>
              <w:pageBreakBefore w:val="0"/>
              <w:spacing w:after="0" w:line="312"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要求见招标文件第四章《评标标准》、第五章《采购需求》。</w:t>
            </w:r>
            <w:r/>
          </w:p>
          <w:p>
            <w:pPr>
              <w:pStyle w:val="720"/>
              <w:jc w:val="both"/>
              <w:keepLines w:val="0"/>
              <w:keepNext w:val="0"/>
              <w:pageBreakBefore w:val="0"/>
              <w:spacing w:after="0" w:line="312"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（二）商务部分</w:t>
            </w:r>
            <w:r/>
          </w:p>
          <w:p>
            <w:pPr>
              <w:pStyle w:val="720"/>
              <w:jc w:val="both"/>
              <w:keepLines w:val="0"/>
              <w:keepNext w:val="0"/>
              <w:pageBreakBefore w:val="0"/>
              <w:spacing w:after="0" w:line="312"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要求见招标文件第四章《评标标准》、第五章《采购需求》。</w:t>
            </w:r>
            <w:r/>
          </w:p>
          <w:p>
            <w:pPr>
              <w:numPr>
                <w:ilvl w:val="0"/>
                <w:numId w:val="2"/>
              </w:numPr>
              <w:keepLines w:val="0"/>
              <w:keepNext w:val="0"/>
              <w:pageBreakBefore w:val="0"/>
              <w:spacing w:line="312"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价格折扣文件格式</w:t>
            </w:r>
            <w:r/>
          </w:p>
          <w:p>
            <w:pPr>
              <w:pStyle w:val="720"/>
              <w:numPr>
                <w:ilvl w:val="0"/>
                <w:numId w:val="0"/>
              </w:numPr>
              <w:jc w:val="both"/>
              <w:keepLines w:val="0"/>
              <w:keepNext w:val="0"/>
              <w:pageBreakBefore w:val="0"/>
              <w:spacing w:after="0" w:line="312" w:lineRule="auto"/>
              <w:rPr>
                <w:rFonts w:hint="eastAsia" w:ascii="宋体" w:hAnsi="宋体" w:eastAsia="宋体" w:cs="宋体"/>
                <w:b w:val="0"/>
                <w:bCs w:val="0"/>
                <w:color w:val="000000" w:themeColor="text1"/>
                <w:sz w:val="24"/>
                <w:szCs w:val="22"/>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企业报价折扣证明：投标人提供的货物全部由符合政策要求的中小企业承接的，提供《中小企业声明函》（加盖电子签章，格式见招标文件第七章《投标文件相关格式》</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如不填写完整或未按要求填写的，视为无效）。</w:t>
            </w:r>
            <w:r>
              <w:rPr>
                <w:rFonts w:hint="eastAsia" w:ascii="宋体" w:hAnsi="宋体" w:eastAsia="宋体" w:cs="宋体"/>
                <w:b w:val="0"/>
                <w:bCs w:val="0"/>
                <w:color w:val="000000" w:themeColor="text1"/>
                <w:sz w:val="24"/>
                <w:szCs w:val="22"/>
                <w:highlight w:val="none"/>
                <w14:textFill>
                  <w14:solidFill>
                    <w14:schemeClr w14:val="tx1"/>
                  </w14:solidFill>
                </w14:textFill>
              </w:rPr>
              <w:t xml:space="preserve">查询渠道参考工业和信息化部发布的中小企业规模自测小程序。</w:t>
            </w:r>
            <w:r/>
          </w:p>
          <w:p>
            <w:pPr>
              <w:pStyle w:val="720"/>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注：具体以《政府采购促进中小企业发展管理办法》（财库[2020]46号）和《关于印发中小企业划型标准规定的通知》（工信部联企业[2011]300号）的规定为准。</w:t>
            </w:r>
            <w:r/>
          </w:p>
          <w:p>
            <w:pPr>
              <w:pStyle w:val="720"/>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注：监狱企业和残疾人福利性单位等同于小微企业。</w:t>
            </w:r>
            <w:r/>
          </w:p>
          <w:p>
            <w:pPr>
              <w:pStyle w:val="720"/>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投标人为监狱企业的，提供省级以上监狱管理局、戒毒管理局（含新疆生产建设兵团）出具的属于监狱企业的证明文件原件的扫描件。</w:t>
            </w:r>
            <w:r/>
          </w:p>
          <w:p>
            <w:pPr>
              <w:pStyle w:val="720"/>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具体以《财政部 司法部关于政府采购支持监狱企业发展有关问题的通知》（财库〔2014〕68号）的规定为准。</w:t>
            </w:r>
            <w:r/>
          </w:p>
          <w:p>
            <w:pPr>
              <w:pStyle w:val="720"/>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投标人为享受政府采购支持政策的残疾人福利性单位的，提供《残疾人福利性单位声明函》（加盖电子签章，格式见招标文件第七章《投标文件相关格式》）。</w:t>
            </w:r>
            <w:r/>
          </w:p>
          <w:p>
            <w:pPr>
              <w:pStyle w:val="720"/>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享受政府采购支持政策的残疾人福利性单位应当同时满足以下条件：</w:t>
            </w:r>
            <w:r/>
          </w:p>
          <w:p>
            <w:pPr>
              <w:pStyle w:val="720"/>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①安置的残疾人占本单位在职职工人数的比例不低于25%（含25%），并且安置的残疾人人数不少于10人（含10人）；</w:t>
            </w:r>
            <w:r/>
          </w:p>
          <w:p>
            <w:pPr>
              <w:pStyle w:val="720"/>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②依法与安置的每位残疾人签订了一年以上（含一年）的劳动合同或服务协议；</w:t>
            </w:r>
            <w:r/>
          </w:p>
          <w:p>
            <w:pPr>
              <w:pStyle w:val="720"/>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③为安置的每位残疾人按月足额缴纳了基本养老保险、基本医疗保险、失业保险、工伤保险和生育保险等社会保险费；</w:t>
            </w:r>
            <w:r/>
          </w:p>
          <w:p>
            <w:pPr>
              <w:pStyle w:val="720"/>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pStyle w:val="720"/>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720"/>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20"/>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具体以《三部门联合发布关于促进残疾人就业政府采购政策的通知》（财库〔2017〕141号）规定为准。</w:t>
            </w:r>
            <w:r/>
          </w:p>
          <w:p>
            <w:pPr>
              <w:pStyle w:val="720"/>
              <w:jc w:val="both"/>
              <w:keepLines w:val="0"/>
              <w:keepNext w:val="0"/>
              <w:pageBreakBefore w:val="0"/>
              <w:spacing w:after="0" w:line="312"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注：</w:t>
            </w:r>
            <w:r/>
          </w:p>
          <w:p>
            <w:pPr>
              <w:pStyle w:val="720"/>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1.投标人应对以上文件的合法性、真实性负责。</w:t>
            </w:r>
            <w:r/>
          </w:p>
          <w:p>
            <w:pPr>
              <w:pStyle w:val="720"/>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（十三）2</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pStyle w:val="934"/>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商务条件见：</w:t>
            </w:r>
            <w:r/>
          </w:p>
          <w:p>
            <w:pPr>
              <w:pStyle w:val="934"/>
              <w:spacing w:line="36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本文件第四章《评标标准》中《评分细则》。</w:t>
            </w:r>
            <w:r/>
          </w:p>
          <w:p>
            <w:pPr>
              <w:jc w:val="both"/>
              <w:keepLines w:val="0"/>
              <w:keepNext w:val="0"/>
              <w:pageBreakBefore w:val="0"/>
              <w:spacing w:line="312" w:lineRule="auto"/>
              <w:widowControl/>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、本文件第三章《投标资料表》中</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十三</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jc w:val="both"/>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交货和提供服务的时间：见本文件第五章 《拟签订的合同文本》</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及</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本文件第六章《采购需求》。</w:t>
            </w: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十四</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jc w:val="both"/>
              <w:keepLines w:val="0"/>
              <w:keepNext w:val="0"/>
              <w:pageBreakBefore w:val="0"/>
              <w:spacing w:line="312" w:lineRule="auto"/>
              <w:widowControl/>
              <w:rPr>
                <w:rFonts w:hint="default" w:ascii="宋体" w:hAnsi="宋体" w:cs="宋体"/>
                <w:b/>
                <w:bCs/>
                <w:color w:val="000000" w:themeColor="text1"/>
                <w:sz w:val="24"/>
                <w:highlight w:val="none"/>
                <w:u w:val="single"/>
                <w:lang w:val="en-US"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本项目</w:t>
            </w:r>
            <w:r>
              <w:rPr>
                <w:rFonts w:hint="eastAsia" w:ascii="宋体" w:hAnsi="宋体" w:cs="宋体"/>
                <w:bCs/>
                <w:color w:val="000000" w:themeColor="text1"/>
                <w:sz w:val="24"/>
                <w:highlight w:val="none"/>
                <w:lang w:eastAsia="zh-CN"/>
                <w14:textFill>
                  <w14:solidFill>
                    <w14:schemeClr w14:val="tx1"/>
                  </w14:solidFill>
                </w14:textFill>
              </w:rPr>
              <w:t xml:space="preserve">预算总金额</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133万元</w:t>
            </w:r>
            <w:r>
              <w:rPr>
                <w:rFonts w:hint="eastAsia" w:ascii="宋体" w:hAnsi="宋体" w:eastAsia="宋体" w:cs="宋体"/>
                <w:bCs/>
                <w:color w:val="000000" w:themeColor="text1"/>
                <w:sz w:val="24"/>
                <w:highlight w:val="none"/>
                <w14:textFill>
                  <w14:solidFill>
                    <w14:schemeClr w14:val="tx1"/>
                  </w14:solidFill>
                </w14:textFill>
              </w:rPr>
              <w:t xml:space="preserve">人民币</w:t>
            </w:r>
            <w:r>
              <w:rPr>
                <w:rFonts w:hint="eastAsia" w:ascii="宋体" w:hAnsi="宋体" w:cs="宋体"/>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（其中8吨泡沫消防车最高限价77万元，4吨水罐消防车最高限价56万元）</w:t>
            </w:r>
            <w:r/>
          </w:p>
          <w:p>
            <w:pPr>
              <w:jc w:val="both"/>
              <w:keepLines w:val="0"/>
              <w:keepNext w:val="0"/>
              <w:pageBreakBefore w:val="0"/>
              <w:spacing w:line="312"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highlight w:val="none"/>
                <w:lang w:eastAsia="zh-CN"/>
                <w14:textFill>
                  <w14:solidFill>
                    <w14:schemeClr w14:val="tx1"/>
                  </w14:solidFill>
                </w14:textFill>
              </w:rPr>
              <w:t xml:space="preserve">投标人的报价不得高于采购需求里的各</w:t>
            </w:r>
            <w:bookmarkStart w:id="3" w:name="_GoBack"/>
            <w:r>
              <w:rPr>
                <w:rFonts w:hint="eastAsia" w:ascii="宋体" w:hAnsi="宋体" w:cs="宋体"/>
                <w:bCs/>
                <w:color w:val="000000" w:themeColor="text1"/>
                <w:sz w:val="24"/>
                <w:highlight w:val="none"/>
                <w:lang w:eastAsia="zh-CN"/>
                <w14:textFill>
                  <w14:solidFill>
                    <w14:schemeClr w14:val="tx1"/>
                  </w14:solidFill>
                </w14:textFill>
              </w:rPr>
              <w:t xml:space="preserve">采购包</w:t>
            </w:r>
            <w:bookmarkEnd w:id="3"/>
            <w:r>
              <w:rPr>
                <w:rFonts w:hint="eastAsia" w:ascii="宋体" w:hAnsi="宋体" w:cs="宋体"/>
                <w:bCs/>
                <w:color w:val="000000" w:themeColor="text1"/>
                <w:sz w:val="24"/>
                <w:highlight w:val="none"/>
                <w:lang w:eastAsia="zh-CN"/>
                <w14:textFill>
                  <w14:solidFill>
                    <w14:schemeClr w14:val="tx1"/>
                  </w14:solidFill>
                </w14:textFill>
              </w:rPr>
              <w:t xml:space="preserve">的最高限价，具体详见采购需求。</w:t>
            </w:r>
            <w:r>
              <w:rPr>
                <w:rFonts w:hint="eastAsia" w:ascii="宋体" w:hAnsi="宋体" w:eastAsia="宋体" w:cs="宋体"/>
                <w:color w:val="000000" w:themeColor="text1"/>
                <w:sz w:val="24"/>
                <w:highlight w:val="none"/>
                <w14:textFill>
                  <w14:solidFill>
                    <w14:schemeClr w14:val="tx1"/>
                  </w14:solidFill>
                </w14:textFill>
              </w:rPr>
              <w:t xml:space="preserve">报价包括产品价、税金、运费、安装调试、检验、保险、验收等全部费用。用户不再支付报价以外的任何费用。</w:t>
            </w: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十五</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33" w:type="dxa"/>
            <w:vAlign w:val="center"/>
            <w:textDirection w:val="lrTb"/>
            <w:noWrap w:val="false"/>
          </w:tcPr>
          <w:p>
            <w:pPr>
              <w:jc w:val="both"/>
              <w:keepLines w:val="0"/>
              <w:keepNext w:val="0"/>
              <w:pageBreakBefore w:val="0"/>
              <w:spacing w:line="312" w:lineRule="auto"/>
              <w:widowControl/>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以人民币报价</w:t>
            </w: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十七</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33" w:type="dxa"/>
            <w:vAlign w:val="center"/>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投标人须用政府采购客户端工具导入“苏采云”系统下载的采购文件（后缀）、供应商操作手册及政府采购客户端工具可通过“苏采云”系统（网址：http://jszfcg.jsczt.cn</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--已报名项目-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报名详情页面内相应链接进行下载；供应商操作手册及政府采购客户端工具也可通过徐州政府采购网-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业务工作</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快速服务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下载专区，点击进入《江苏省政府采购管理交易系统（苏采云）供应商操作手册及政府采购客户端》，进行下载。</w:t>
            </w:r>
            <w:r/>
          </w:p>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投标人应当通过“苏采云”系统提交数据电文形式的投标文件（即电子投标）。</w:t>
            </w:r>
            <w:r/>
          </w:p>
          <w:p>
            <w:pPr>
              <w:jc w:val="both"/>
              <w:keepLines w:val="0"/>
              <w:keepNext w:val="0"/>
              <w:pageBreakBefore w:val="0"/>
              <w:spacing w:line="312" w:lineRule="auto"/>
              <w:widowControl/>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特别说明：通过“苏采云”系统提交政府采购客户端工具导出加密的投标文件（后缀名为zip）。</w:t>
            </w:r>
            <w:r>
              <w:rPr>
                <w:rFonts w:hint="eastAsia" w:ascii="宋体" w:hAnsi="宋体" w:cs="宋体"/>
                <w:b/>
                <w:bCs/>
                <w:color w:val="auto"/>
                <w:sz w:val="24"/>
                <w:highlight w:val="none"/>
                <w:shd w:val="clear" w:color="auto" w:fill="auto"/>
              </w:rPr>
              <w:t xml:space="preserve">投标文件不得超过150</w:t>
            </w:r>
            <w:r>
              <w:rPr>
                <w:rFonts w:hint="eastAsia" w:ascii="宋体" w:hAnsi="宋体" w:cs="宋体"/>
                <w:b/>
                <w:bCs/>
                <w:color w:val="auto"/>
                <w:sz w:val="24"/>
                <w:highlight w:val="none"/>
                <w:shd w:val="clear" w:color="auto" w:fill="auto"/>
                <w:lang w:val="en-US" w:eastAsia="zh-CN"/>
              </w:rPr>
              <w:t xml:space="preserve">M</w:t>
            </w:r>
            <w:r>
              <w:rPr>
                <w:rFonts w:hint="eastAsia" w:ascii="宋体" w:hAnsi="宋体" w:cs="宋体"/>
                <w:b/>
                <w:bCs/>
                <w:color w:val="auto"/>
                <w:sz w:val="24"/>
                <w:highlight w:val="none"/>
                <w:shd w:val="clear" w:color="auto" w:fill="auto"/>
              </w:rPr>
              <w:t xml:space="preserve">！</w:t>
            </w:r>
            <w:r>
              <w:rPr>
                <w:rFonts w:hint="eastAsia" w:ascii="宋体" w:hAnsi="宋体" w:cs="宋体"/>
                <w:color w:val="auto"/>
                <w:sz w:val="24"/>
                <w:highlight w:val="none"/>
                <w:shd w:val="clear" w:color="auto" w:fill="auto"/>
              </w:rPr>
              <w:t xml:space="preserve">（以系统为准）</w:t>
            </w:r>
            <w:r/>
          </w:p>
          <w:p>
            <w:pPr>
              <w:jc w:val="both"/>
              <w:keepLines w:val="0"/>
              <w:keepNext w:val="0"/>
              <w:pageBreakBefore w:val="0"/>
              <w:spacing w:line="312" w:lineRule="auto"/>
              <w:widowControl/>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说明：本项目通过“苏采云”系统进行电子采购，即投标人投标文件从政府采购客户端工具制作通过“苏采云”系统提交，未提供线上投标文件并解密(因“苏采云”系统导致解密失败的除外)的，投标无效。</w:t>
            </w:r>
            <w:r/>
          </w:p>
        </w:tc>
      </w:tr>
      <w:tr>
        <w:trPr>
          <w:jc w:val="center"/>
          <w:trHeight w:val="519"/>
        </w:trPr>
        <w:tc>
          <w:tcPr>
            <w:shd w:val="clear" w:color="auto" w:fill="auto"/>
            <w:tcBorders>
              <w:top w:val="single" w:color="auto" w:sz="4" w:space="0"/>
              <w:left w:val="single" w:color="auto" w:sz="4" w:space="0"/>
              <w:bottom w:val="single" w:color="auto" w:sz="4" w:space="0"/>
              <w:right w:val="single" w:color="auto" w:sz="4" w:space="0"/>
            </w:tcBorders>
            <w:tcW w:w="1426" w:type="dxa"/>
            <w:vAlign w:val="top"/>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十八</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733" w:type="dxa"/>
            <w:vAlign w:val="center"/>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电子投标文件的加密、签署、盖章要求：</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1、投标文件的加密要求：</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2、投标文件的签署要求：见招标文件第七章《投标文件相关格式》。</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3、投标文件的盖章要求：见招标文件第三章《投标资料表》</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2和招标文件第七章《投标文件相关格式》。投标人须通过“苏采云”系统提供的政府采购客户端工具（使用“CA数字证书”）加盖电子签章。</w:t>
            </w: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十九</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highlight w:val="none"/>
              </w:rPr>
            </w:r>
          </w:p>
        </w:tc>
        <w:tc>
          <w:tcPr>
            <w:tcBorders>
              <w:top w:val="single" w:color="auto" w:sz="4" w:space="0"/>
              <w:left w:val="single" w:color="auto" w:sz="4" w:space="0"/>
              <w:bottom w:val="single" w:color="auto" w:sz="4" w:space="0"/>
              <w:right w:val="single" w:color="auto" w:sz="4" w:space="0"/>
            </w:tcBorders>
            <w:tcW w:w="7733" w:type="dxa"/>
            <w:vAlign w:val="top"/>
            <w:textDirection w:val="lrTb"/>
            <w:noWrap w:val="false"/>
          </w:tcPr>
          <w:p>
            <w:pPr>
              <w:pStyle w:val="934"/>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投标文件的提交与接收： </w:t>
            </w:r>
            <w:r>
              <w:rPr>
                <w:highlight w:val="none"/>
              </w:rPr>
            </w:r>
          </w:p>
          <w:p>
            <w:pPr>
              <w:rPr>
                <w:rFonts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一、投标文件提交时间：</w:t>
            </w:r>
            <w:r>
              <w:rPr>
                <w:rFonts w:hint="eastAsia" w:ascii="宋体" w:hAnsi="宋体" w:cs="宋体"/>
                <w:b/>
                <w:bCs/>
                <w:color w:val="auto"/>
                <w:sz w:val="24"/>
                <w:highlight w:val="none"/>
                <w:shd w:val="clear" w:color="auto" w:fill="auto"/>
              </w:rPr>
              <w:t xml:space="preserve">2025年</w:t>
            </w:r>
            <w:r>
              <w:rPr>
                <w:rFonts w:hint="eastAsia" w:ascii="宋体" w:hAnsi="宋体" w:cs="宋体"/>
                <w:b/>
                <w:bCs/>
                <w:color w:val="auto"/>
                <w:sz w:val="24"/>
                <w:highlight w:val="none"/>
                <w:shd w:val="clear" w:color="auto" w:fill="auto"/>
                <w:lang w:val="en-US" w:eastAsia="zh-CN"/>
              </w:rPr>
              <w:t xml:space="preserve">12</w:t>
            </w:r>
            <w:r>
              <w:rPr>
                <w:rFonts w:hint="eastAsia" w:ascii="宋体" w:hAnsi="宋体" w:cs="宋体"/>
                <w:b/>
                <w:bCs/>
                <w:color w:val="auto"/>
                <w:sz w:val="24"/>
                <w:highlight w:val="none"/>
                <w:shd w:val="clear" w:color="auto" w:fill="auto"/>
              </w:rPr>
              <w:t xml:space="preserve">月10</w:t>
            </w:r>
            <w:r>
              <w:rPr>
                <w:rFonts w:hint="eastAsia" w:ascii="宋体" w:hAnsi="宋体" w:cs="宋体"/>
                <w:b/>
                <w:bCs/>
                <w:color w:val="auto"/>
                <w:sz w:val="24"/>
                <w:highlight w:val="none"/>
                <w:shd w:val="clear" w:color="auto" w:fill="auto"/>
              </w:rPr>
              <w:t xml:space="preserve">日北京时间</w:t>
            </w:r>
            <w:r>
              <w:rPr>
                <w:rFonts w:hint="eastAsia" w:ascii="宋体" w:hAnsi="宋体" w:cs="宋体"/>
                <w:b/>
                <w:bCs/>
                <w:color w:val="auto"/>
                <w:sz w:val="24"/>
                <w:highlight w:val="none"/>
                <w:shd w:val="clear" w:color="auto" w:fill="auto"/>
                <w:lang w:eastAsia="zh-CN"/>
              </w:rPr>
              <w:t xml:space="preserve">9：10</w:t>
            </w:r>
            <w:r>
              <w:rPr>
                <w:rFonts w:hint="eastAsia" w:ascii="宋体" w:hAnsi="宋体" w:cs="宋体"/>
                <w:b/>
                <w:bCs/>
                <w:color w:val="auto"/>
                <w:sz w:val="24"/>
                <w:highlight w:val="none"/>
                <w:shd w:val="clear" w:color="auto" w:fill="auto"/>
              </w:rPr>
              <w:t xml:space="preserve">前</w:t>
            </w:r>
            <w:r>
              <w:rPr>
                <w:rFonts w:hint="eastAsia" w:ascii="宋体" w:hAnsi="宋体" w:cs="宋体"/>
                <w:color w:val="auto"/>
                <w:sz w:val="24"/>
                <w:highlight w:val="none"/>
                <w:shd w:val="clear" w:color="auto" w:fill="auto"/>
              </w:rPr>
              <w:t xml:space="preserve">。</w:t>
            </w:r>
            <w:r>
              <w:rPr>
                <w:highlight w:val="none"/>
              </w:rPr>
            </w:r>
          </w:p>
          <w:p>
            <w:pPr>
              <w:pStyle w:val="934"/>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、提交投标截止时间：</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2025年</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12</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月10</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日北京时间</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9：10。</w:t>
            </w:r>
            <w:r>
              <w:rPr>
                <w:highlight w:val="none"/>
              </w:rPr>
            </w:r>
          </w:p>
          <w:p>
            <w:pPr>
              <w:pStyle w:val="934"/>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三</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、投标文件提交与接收地点：投标人应当通过“苏采云”系统提交数据电文形式的投标文件（即电子投标），“苏采云”系统自动接收。</w:t>
            </w:r>
            <w:r>
              <w:rPr>
                <w:highlight w:val="none"/>
              </w:rP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二十</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33" w:type="dxa"/>
            <w:vAlign w:val="center"/>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投标人应当在投标截止时间前完成投标文件的传输提交，并可以补充、修改或者撤回投标文件。</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补充、修改投标文件的，须先撤回投标文件，重新编制（即补充、修改）投标文件，在投标截止时间前完成投标文件的传输提交。</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投标截止时间前未完成投标文件传输的，视为撤回投标文件。投标截止时间后送达的投标文件，“苏采云”系统应当拒收。</w:t>
            </w:r>
            <w:r/>
          </w:p>
          <w:p>
            <w:pPr>
              <w:keepLines w:val="0"/>
              <w:keepNext w:val="0"/>
              <w:pageBreakBefore w:val="0"/>
              <w:spacing w:line="288" w:lineRule="auto"/>
              <w:widowControl w:val="off"/>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采云”系统收到投标人送达的投标文件，即时向投标人发出确认回执通知（提示），并妥善保存投标文件。在投标截止时间前，除投标人补充、修改或者撤回投标文件外，任何单位和个人不得解密、提取投标文件。</w:t>
            </w: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33"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四、开标</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二十五</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733" w:type="dxa"/>
            <w:vAlign w:val="top"/>
            <w:textDirection w:val="lrTb"/>
            <w:noWrap w:val="false"/>
          </w:tcPr>
          <w:p>
            <w:pPr>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开标时间及地点：</w:t>
            </w:r>
            <w:r>
              <w:rPr>
                <w:highlight w:val="none"/>
              </w:rPr>
            </w:r>
          </w:p>
          <w:p>
            <w:pPr>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1.开标时间：</w:t>
            </w:r>
            <w:r>
              <w:rPr>
                <w:rFonts w:hint="eastAsia" w:ascii="宋体" w:hAnsi="宋体" w:eastAsia="宋体" w:cs="宋体"/>
                <w:b/>
                <w:bCs/>
                <w:color w:val="000000" w:themeColor="text1"/>
                <w:sz w:val="24"/>
                <w:highlight w:val="none"/>
                <w14:textFill>
                  <w14:solidFill>
                    <w14:schemeClr w14:val="tx1"/>
                  </w14:solidFill>
                </w14:textFill>
              </w:rPr>
              <w:t xml:space="preserve">202</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highlight w:val="none"/>
                <w14:textFill>
                  <w14:solidFill>
                    <w14:schemeClr w14:val="tx1"/>
                  </w14:solidFill>
                </w14:textFill>
              </w:rPr>
              <w:t xml:space="preserve">年</w:t>
            </w:r>
            <w:r>
              <w:rPr>
                <w:rFonts w:hint="eastAsia" w:ascii="宋体" w:hAnsi="宋体" w:cs="宋体"/>
                <w:b/>
                <w:bCs/>
                <w:color w:val="000000" w:themeColor="text1"/>
                <w:sz w:val="24"/>
                <w:highlight w:val="none"/>
                <w:lang w:val="en-US" w:eastAsia="zh-CN"/>
                <w14:textFill>
                  <w14:solidFill>
                    <w14:schemeClr w14:val="tx1"/>
                  </w14:solidFill>
                </w14:textFill>
              </w:rPr>
              <w:t xml:space="preserve">12月10日</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北京时间</w:t>
            </w:r>
            <w:r>
              <w:rPr>
                <w:rFonts w:hint="eastAsia" w:ascii="宋体" w:hAnsi="宋体" w:cs="宋体"/>
                <w:b/>
                <w:bCs/>
                <w:color w:val="000000" w:themeColor="text1"/>
                <w:sz w:val="24"/>
                <w:highlight w:val="none"/>
                <w:lang w:eastAsia="zh-CN"/>
                <w14:textFill>
                  <w14:solidFill>
                    <w14:schemeClr w14:val="tx1"/>
                  </w14:solidFill>
                </w14:textFill>
              </w:rPr>
              <w:t xml:space="preserve">9：10</w:t>
            </w:r>
            <w:r>
              <w:rPr>
                <w:highlight w:val="none"/>
              </w:rPr>
            </w:r>
          </w:p>
          <w:p>
            <w:pPr>
              <w:jc w:val="left"/>
              <w:keepLines w:val="0"/>
              <w:keepNext w:val="0"/>
              <w:pageBreakBefore w:val="0"/>
              <w:spacing w:line="312"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2.开标地点：“苏采云”系统（网址：http://jszfcg.jsczt.cn/）“开标大厅”或进入徐州政府采购网（网址：http://czj.xz.gov.cn/Home/HomeIndex）--业务工作--用户登录，点击“苏采云”进入系统“开标大厅”。</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（二十五）1</w:t>
            </w:r>
            <w:r/>
          </w:p>
        </w:tc>
        <w:tc>
          <w:tcPr>
            <w:shd w:val="clear" w:color="auto" w:fill="auto"/>
            <w:tcBorders>
              <w:top w:val="single" w:color="auto" w:sz="4" w:space="0"/>
              <w:left w:val="single" w:color="auto" w:sz="4" w:space="0"/>
              <w:bottom w:val="single" w:color="auto" w:sz="4" w:space="0"/>
              <w:right w:val="single" w:color="auto" w:sz="4" w:space="0"/>
            </w:tcBorders>
            <w:tcW w:w="7733" w:type="dxa"/>
            <w:vAlign w:val="top"/>
            <w:textDirection w:val="lrTb"/>
            <w:noWrap w:val="false"/>
          </w:tcPr>
          <w:p>
            <w:pPr>
              <w:ind w:firstLine="482"/>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000000" w:themeColor="text1"/>
                <w:sz w:val="24"/>
                <w:highlight w:val="none"/>
                <w14:textFill>
                  <w14:solidFill>
                    <w14:schemeClr w14:val="tx1"/>
                  </w14:solidFill>
                </w14:textFill>
              </w:rPr>
              <w:t xml:space="preserve">开标时间后30分钟内</w:t>
            </w:r>
            <w:r>
              <w:rPr>
                <w:rFonts w:hint="eastAsia" w:ascii="宋体" w:hAnsi="宋体" w:eastAsia="宋体" w:cs="宋体"/>
                <w:color w:val="000000" w:themeColor="text1"/>
                <w:sz w:val="24"/>
                <w:highlight w:val="none"/>
                <w14:textFill>
                  <w14:solidFill>
                    <w14:schemeClr w14:val="tx1"/>
                  </w14:solidFill>
                </w14:textFill>
              </w:rPr>
              <w:t xml:space="preserve">，通过“苏采云”系统（使用“CA数字证书”）解密。</w:t>
            </w:r>
            <w:r/>
          </w:p>
          <w:p>
            <w:pPr>
              <w:ind w:firstLine="482"/>
              <w:jc w:val="left"/>
              <w:keepLines w:val="0"/>
              <w:keepNext w:val="0"/>
              <w:pageBreakBefore w:val="0"/>
              <w:spacing w:line="312" w:lineRule="auto"/>
              <w:widowControl/>
              <w:rPr>
                <w:rFonts w:hint="eastAsia" w:ascii="宋体" w:hAnsi="宋体" w:eastAsia="宋体" w:cs="宋体"/>
                <w:color w:val="000000" w:themeColor="text1"/>
                <w:sz w:val="21"/>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所有投标人解密（或解密时间）结束后，</w:t>
            </w:r>
            <w:r>
              <w:rPr>
                <w:rFonts w:hint="eastAsia" w:ascii="宋体" w:hAnsi="宋体" w:eastAsia="宋体" w:cs="宋体"/>
                <w:bCs/>
                <w:color w:val="000000" w:themeColor="text1"/>
                <w:sz w:val="24"/>
                <w:highlight w:val="none"/>
                <w14:textFill>
                  <w14:solidFill>
                    <w14:schemeClr w14:val="tx1"/>
                  </w14:solidFill>
                </w14:textFill>
              </w:rPr>
              <w:t xml:space="preserve">“苏采云”系统生成开标记录并向社会公众公布，但依法应当保密的除外。</w:t>
            </w:r>
            <w:r/>
          </w:p>
        </w:tc>
      </w:tr>
      <w:tr>
        <w:trPr>
          <w:jc w:val="center"/>
          <w:trHeight w:val="444"/>
        </w:trPr>
        <w:tc>
          <w:tcPr>
            <w:shd w:val="clear" w:color="auto" w:fill="auto"/>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733" w:type="dxa"/>
            <w:vAlign w:val="top"/>
            <w:textDirection w:val="lrTb"/>
            <w:noWrap w:val="false"/>
          </w:tcPr>
          <w:p>
            <w:pPr>
              <w:jc w:val="center"/>
              <w:keepLines w:val="0"/>
              <w:keepNext w:val="0"/>
              <w:pageBreakBefore w:val="0"/>
              <w:spacing w:line="312" w:lineRule="auto"/>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五、评标</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（二十七）</w:t>
            </w:r>
            <w:r/>
          </w:p>
        </w:tc>
        <w:tc>
          <w:tcPr>
            <w:shd w:val="clear" w:color="auto" w:fill="auto"/>
            <w:tcBorders>
              <w:top w:val="single" w:color="auto" w:sz="4" w:space="0"/>
              <w:left w:val="single" w:color="auto" w:sz="4" w:space="0"/>
              <w:bottom w:val="single" w:color="auto" w:sz="4" w:space="0"/>
              <w:right w:val="single" w:color="auto" w:sz="4" w:space="0"/>
            </w:tcBorders>
            <w:tcW w:w="7733" w:type="dxa"/>
            <w:vAlign w:val="top"/>
            <w:textDirection w:val="lrTb"/>
            <w:noWrap w:val="false"/>
          </w:tcPr>
          <w:p>
            <w:pPr>
              <w:jc w:val="left"/>
              <w:keepLines w:val="0"/>
              <w:keepNext w:val="0"/>
              <w:pageBreakBefore w:val="0"/>
              <w:spacing w:line="312" w:lineRule="auto"/>
              <w:widowControl/>
              <w:rPr>
                <w:rFonts w:hint="eastAsia" w:ascii="宋体" w:hAnsi="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采用综合评分法。</w:t>
            </w:r>
            <w:r/>
          </w:p>
        </w:tc>
      </w:tr>
      <w:tr>
        <w:trPr>
          <w:jc w:val="center"/>
          <w:trHeight w:val="3115"/>
        </w:trPr>
        <w:tc>
          <w:tcPr>
            <w:shd w:val="clear" w:color="auto" w:fill="auto"/>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（二十八）</w:t>
            </w:r>
            <w:r/>
          </w:p>
        </w:tc>
        <w:tc>
          <w:tcPr>
            <w:shd w:val="clear" w:color="auto" w:fill="auto"/>
            <w:tcBorders>
              <w:top w:val="single" w:color="auto" w:sz="4" w:space="0"/>
              <w:left w:val="single" w:color="auto" w:sz="4" w:space="0"/>
              <w:bottom w:val="single" w:color="auto" w:sz="4" w:space="0"/>
              <w:right w:val="single" w:color="auto" w:sz="4" w:space="0"/>
            </w:tcBorders>
            <w:tcW w:w="7733" w:type="dxa"/>
            <w:vAlign w:val="top"/>
            <w:textDirection w:val="lrTb"/>
            <w:noWrap w:val="false"/>
          </w:tcPr>
          <w:p>
            <w:pPr>
              <w:pStyle w:val="721"/>
              <w:ind w:left="0" w:firstLine="0"/>
              <w:jc w:val="both"/>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highlight w:val="none"/>
                <w14:textFill>
                  <w14:solidFill>
                    <w14:schemeClr w14:val="tx1"/>
                  </w14:solidFill>
                </w14:textFill>
              </w:rPr>
              <w:t xml:space="preserve">、推荐中标候选供应商名单。中标候选供应商数量应当根据采购需要确定，但必须按顺序排列中标候选供应商。</w:t>
            </w:r>
            <w:r/>
          </w:p>
          <w:p>
            <w:pPr>
              <w:keepLines w:val="0"/>
              <w:keepNext w:val="0"/>
              <w:pageBreakBefore w:val="0"/>
              <w:spacing w:line="288" w:lineRule="auto"/>
              <w:rPr>
                <w:rFonts w:hint="eastAsia"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采用综合评分法的，按评审后得分由高到低顺序排列。得分相同的，按投标报价由低到高顺序排列。得分且投标报价相同的，按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技术部分</w:t>
            </w:r>
            <w:r>
              <w:rPr>
                <w:rFonts w:hint="eastAsia" w:ascii="宋体" w:hAnsi="宋体" w:eastAsia="宋体" w:cs="宋体"/>
                <w:color w:val="000000" w:themeColor="text1"/>
                <w:sz w:val="24"/>
                <w:szCs w:val="24"/>
                <w:highlight w:val="none"/>
                <w14:textFill>
                  <w14:solidFill>
                    <w14:schemeClr w14:val="tx1"/>
                  </w14:solidFill>
                </w14:textFill>
              </w:rPr>
              <w:t xml:space="preserve">得分由高到低顺序排列，得分且投标报价且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技术部分</w:t>
            </w:r>
            <w:r>
              <w:rPr>
                <w:rFonts w:hint="eastAsia" w:ascii="宋体" w:hAnsi="宋体" w:eastAsia="宋体" w:cs="宋体"/>
                <w:color w:val="000000" w:themeColor="text1"/>
                <w:sz w:val="24"/>
                <w:szCs w:val="24"/>
                <w:highlight w:val="none"/>
                <w14:textFill>
                  <w14:solidFill>
                    <w14:schemeClr w14:val="tx1"/>
                  </w14:solidFill>
                </w14:textFill>
              </w:rPr>
              <w:t xml:space="preserve">得分均相同的，按</w:t>
            </w:r>
            <w:r>
              <w:rPr>
                <w:rFonts w:hint="eastAsia" w:ascii="宋体" w:hAnsi="宋体" w:cs="宋体"/>
                <w:color w:val="000000" w:themeColor="text1"/>
                <w:sz w:val="24"/>
                <w:highlight w:val="none"/>
                <w14:textFill>
                  <w14:solidFill>
                    <w14:schemeClr w14:val="tx1"/>
                  </w14:solidFill>
                </w14:textFill>
              </w:rPr>
              <w:t xml:space="preserve">商务部分得分由高到低顺序排列</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59"/>
              <w:ind w:left="0" w:firstLine="0"/>
              <w:jc w:val="both"/>
              <w:keepLines w:val="0"/>
              <w:keepNext w:val="0"/>
              <w:pageBreakBefore w:val="0"/>
              <w:spacing w:after="0" w:line="288" w:lineRule="auto"/>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三、采购人应当自收到评标报告之日起5个工作日内，在评标报告确定的中标候选人名单中按得分最高顺序确定一名中标人。</w:t>
            </w:r>
            <w:r/>
          </w:p>
        </w:tc>
      </w:tr>
      <w:tr>
        <w:trPr>
          <w:jc w:val="center"/>
          <w:trHeight w:val="0"/>
        </w:trPr>
        <w:tc>
          <w:tcPr>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二十九</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pStyle w:val="721"/>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1.评标中需要投标人对投标文件澄清或者说明的，应当通过“苏采云”系统交换数据电文。</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在评标期间，请投标人保持在线。</w:t>
            </w:r>
            <w:r/>
          </w:p>
          <w:p>
            <w:pPr>
              <w:pStyle w:val="721"/>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21"/>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21"/>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574"/>
        </w:trPr>
        <w:tc>
          <w:tcPr>
            <w:tcBorders>
              <w:top w:val="single" w:color="auto" w:sz="4" w:space="0"/>
              <w:left w:val="single" w:color="auto" w:sz="4" w:space="0"/>
              <w:bottom w:val="single" w:color="auto" w:sz="4" w:space="0"/>
              <w:right w:val="single" w:color="auto" w:sz="4" w:space="0"/>
            </w:tcBorders>
            <w:tcW w:w="1426"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733" w:type="dxa"/>
            <w:textDirection w:val="lrTb"/>
            <w:noWrap w:val="false"/>
          </w:tcPr>
          <w:p>
            <w:pPr>
              <w:jc w:val="center"/>
              <w:keepLines w:val="0"/>
              <w:keepNext w:val="0"/>
              <w:pageBreakBefore w:val="0"/>
              <w:spacing w:line="312" w:lineRule="auto"/>
              <w:widowControl/>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七、政府采购合同</w:t>
            </w:r>
            <w:r/>
          </w:p>
        </w:tc>
      </w:tr>
      <w:tr>
        <w:trPr>
          <w:jc w:val="center"/>
          <w:trHeight w:val="1107"/>
        </w:trPr>
        <w:tc>
          <w:tcPr>
            <w:shd w:val="clear" w:color="auto" w:fill="auto"/>
            <w:tcBorders>
              <w:top w:val="single" w:color="auto" w:sz="4" w:space="0"/>
              <w:left w:val="single" w:color="auto" w:sz="4" w:space="0"/>
              <w:bottom w:val="single" w:color="auto" w:sz="4" w:space="0"/>
              <w:right w:val="single" w:color="auto" w:sz="4" w:space="0"/>
            </w:tcBorders>
            <w:tcW w:w="1426"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三十六</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733" w:type="dxa"/>
            <w:vAlign w:val="center"/>
            <w:textDirection w:val="lrTb"/>
            <w:noWrap w:val="false"/>
          </w:tcPr>
          <w:p>
            <w:pPr>
              <w:pStyle w:val="721"/>
              <w:ind w:left="0" w:firstLine="0"/>
              <w:jc w:val="both"/>
              <w:keepLines w:val="0"/>
              <w:keepNext w:val="0"/>
              <w:pageBreakBefore w:val="0"/>
              <w:spacing w:line="360" w:lineRule="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Height w:val="523"/>
        </w:trPr>
        <w:tc>
          <w:tcPr>
            <w:shd w:val="clear" w:color="auto" w:fill="auto"/>
            <w:tcBorders>
              <w:top w:val="single" w:color="auto" w:sz="4" w:space="0"/>
              <w:left w:val="single" w:color="auto" w:sz="4" w:space="0"/>
              <w:bottom w:val="single" w:color="auto" w:sz="4" w:space="0"/>
              <w:right w:val="single" w:color="auto" w:sz="4" w:space="0"/>
            </w:tcBorders>
            <w:tcW w:w="1426" w:type="dxa"/>
            <w:vAlign w:val="top"/>
            <w:textDirection w:val="lrTb"/>
            <w:noWrap w:val="false"/>
          </w:tcPr>
          <w:p>
            <w:pPr>
              <w:pStyle w:val="721"/>
              <w:ind w:left="0" w:firstLine="0"/>
              <w:spacing w:line="40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（三十八）</w:t>
            </w:r>
            <w:r/>
          </w:p>
        </w:tc>
        <w:tc>
          <w:tcPr>
            <w:shd w:val="clear" w:color="auto" w:fill="auto"/>
            <w:tcBorders>
              <w:top w:val="single" w:color="auto" w:sz="4" w:space="0"/>
              <w:left w:val="single" w:color="auto" w:sz="4" w:space="0"/>
              <w:bottom w:val="single" w:color="auto" w:sz="4" w:space="0"/>
              <w:right w:val="single" w:color="auto" w:sz="4" w:space="0"/>
            </w:tcBorders>
            <w:tcW w:w="7733" w:type="dxa"/>
            <w:vAlign w:val="top"/>
            <w:textDirection w:val="lrTb"/>
            <w:noWrap w:val="false"/>
          </w:tcPr>
          <w:p>
            <w:pPr>
              <w:pStyle w:val="721"/>
              <w:ind w:left="0" w:firstLine="0"/>
              <w:keepLines w:val="0"/>
              <w:keepNext w:val="0"/>
              <w:pageBreakBefore w:val="0"/>
              <w:spacing w:line="288"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履约保证金：本项目无。</w:t>
            </w:r>
            <w:r/>
          </w:p>
        </w:tc>
      </w:tr>
      <w:tr>
        <w:trPr>
          <w:jc w:val="center"/>
          <w:trHeight w:val="3973"/>
        </w:trPr>
        <w:tc>
          <w:tcPr>
            <w:shd w:val="clear" w:color="auto" w:fill="auto"/>
            <w:tcBorders>
              <w:top w:val="single" w:color="auto" w:sz="4" w:space="0"/>
              <w:left w:val="single" w:color="auto" w:sz="4" w:space="0"/>
              <w:bottom w:val="single" w:color="auto" w:sz="4" w:space="0"/>
              <w:right w:val="single" w:color="auto" w:sz="4" w:space="0"/>
            </w:tcBorders>
            <w:tcW w:w="142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四十</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733" w:type="dxa"/>
            <w:vAlign w:val="center"/>
            <w:textDirection w:val="lrTb"/>
            <w:noWrap w:val="false"/>
          </w:tcPr>
          <w:p>
            <w:pPr>
              <w:pStyle w:val="721"/>
              <w:ind w:left="0" w:firstLine="0"/>
              <w:jc w:val="both"/>
              <w:keepLines w:val="0"/>
              <w:keepNext w:val="0"/>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供应商对同一采购程序环节的质疑应在质疑期内一次性提出。</w:t>
            </w:r>
            <w:r/>
          </w:p>
          <w:p>
            <w:pPr>
              <w:jc w:val="left"/>
              <w:keepLines w:val="0"/>
              <w:keepNext w:val="0"/>
              <w:pageBreakBefore w:val="0"/>
              <w:spacing w:line="312" w:lineRule="auto"/>
              <w:widowControl w:val="off"/>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质疑接收人</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宋文祥      </w:t>
            </w: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cs="宋体"/>
                <w:color w:val="000000" w:themeColor="text1"/>
                <w:sz w:val="24"/>
                <w:highlight w:val="none"/>
                <w:lang w:val="en-US" w:eastAsia="zh-CN"/>
                <w14:textFill>
                  <w14:solidFill>
                    <w14:schemeClr w14:val="tx1"/>
                  </w14:solidFill>
                </w14:textFill>
              </w:rPr>
              <w:t xml:space="preserve">18912027835</w:t>
            </w:r>
            <w:r/>
          </w:p>
          <w:p>
            <w:pPr>
              <w:pStyle w:val="721"/>
              <w:ind w:left="0" w:firstLine="0"/>
              <w:jc w:val="both"/>
              <w:keepLines w:val="0"/>
              <w:keepNext w:val="0"/>
              <w:pageBreakBefore w:val="0"/>
              <w:spacing w:line="360" w:lineRule="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lang w:val="en-US" w:eastAsia="zh-CN"/>
                <w14:textFill>
                  <w14:solidFill>
                    <w14:schemeClr w14:val="tx1"/>
                  </w14:solidFill>
                </w14:textFill>
              </w:rPr>
              <w:t xml:space="preserve">睢宁县睢河北路189号青蓝大楼5楼510。</w:t>
            </w:r>
            <w:r/>
          </w:p>
        </w:tc>
      </w:tr>
      <w:tr>
        <w:trPr>
          <w:jc w:val="center"/>
          <w:trHeight w:val="1363"/>
        </w:trPr>
        <w:tc>
          <w:tcPr>
            <w:shd w:val="clear" w:color="auto" w:fill="auto"/>
            <w:tcBorders>
              <w:top w:val="single" w:color="auto" w:sz="4" w:space="0"/>
              <w:left w:val="single" w:color="auto" w:sz="4" w:space="0"/>
              <w:bottom w:val="single" w:color="auto" w:sz="4" w:space="0"/>
              <w:right w:val="single" w:color="auto" w:sz="4" w:space="0"/>
            </w:tcBorders>
            <w:tcW w:w="1426" w:type="dxa"/>
            <w:vAlign w:val="top"/>
            <w:textDirection w:val="lrTb"/>
            <w:noWrap w:val="false"/>
          </w:tcPr>
          <w:p>
            <w:pPr>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附加说明</w:t>
            </w:r>
            <w:r/>
          </w:p>
        </w:tc>
        <w:tc>
          <w:tcPr>
            <w:shd w:val="clear" w:color="auto" w:fill="auto"/>
            <w:tcBorders>
              <w:top w:val="single" w:color="auto" w:sz="4" w:space="0"/>
              <w:left w:val="single" w:color="auto" w:sz="4" w:space="0"/>
              <w:bottom w:val="single" w:color="auto" w:sz="4" w:space="0"/>
              <w:right w:val="single" w:color="auto" w:sz="4" w:space="0"/>
            </w:tcBorders>
            <w:tcW w:w="7733" w:type="dxa"/>
            <w:vAlign w:val="top"/>
            <w:textDirection w:val="lrTb"/>
            <w:noWrap w:val="false"/>
          </w:tcPr>
          <w:p>
            <w:pPr>
              <w:ind w:firstLine="482"/>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中标供应商应在确认中标后，在领取中标通知书的同时将纸质标书（一正</w:t>
            </w:r>
            <w:r>
              <w:rPr>
                <w:rFonts w:hint="eastAsia" w:ascii="宋体" w:hAnsi="宋体" w:cs="宋体"/>
                <w:b/>
                <w:bCs/>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highlight w:val="none"/>
                <w14:textFill>
                  <w14:solidFill>
                    <w14:schemeClr w14:val="tx1"/>
                  </w14:solidFill>
                </w14:textFill>
              </w:rPr>
              <w:t xml:space="preserve">副共</w:t>
            </w:r>
            <w:r>
              <w:rPr>
                <w:rFonts w:hint="eastAsia" w:ascii="宋体" w:hAnsi="宋体" w:cs="宋体"/>
                <w:b/>
                <w:bCs/>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highlight w:val="none"/>
                <w14:textFill>
                  <w14:solidFill>
                    <w14:schemeClr w14:val="tx1"/>
                  </w14:solidFill>
                </w14:textFill>
              </w:rPr>
              <w:t xml:space="preserve">份，加盖公章）及电子版标书（使用光盘或U盘存储）送达至</w:t>
            </w:r>
            <w:r>
              <w:rPr>
                <w:rFonts w:hint="eastAsia" w:ascii="宋体" w:hAnsi="宋体" w:cs="宋体"/>
                <w:b/>
                <w:bCs/>
                <w:color w:val="000000" w:themeColor="text1"/>
                <w:sz w:val="24"/>
                <w:highlight w:val="none"/>
                <w:lang w:eastAsia="zh-CN"/>
                <w14:textFill>
                  <w14:solidFill>
                    <w14:schemeClr w14:val="tx1"/>
                  </w14:solidFill>
                </w14:textFill>
              </w:rPr>
              <w:t xml:space="preserve">江苏伟业项目管理有限公司</w:t>
            </w:r>
            <w:r>
              <w:rPr>
                <w:rFonts w:hint="eastAsia" w:ascii="宋体" w:hAnsi="宋体" w:eastAsia="宋体" w:cs="宋体"/>
                <w:b/>
                <w:bCs/>
                <w:color w:val="000000" w:themeColor="text1"/>
                <w:sz w:val="24"/>
                <w:highlight w:val="none"/>
                <w14:textFill>
                  <w14:solidFill>
                    <w14:schemeClr w14:val="tx1"/>
                  </w14:solidFill>
                </w14:textFill>
              </w:rPr>
              <w:t xml:space="preserve">存档。后期招标人如有需要中标人仍需免费提供。</w:t>
            </w:r>
            <w:r/>
          </w:p>
        </w:tc>
      </w:tr>
    </w:tbl>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pStyle w:val="721"/>
        <w:jc w:val="left"/>
        <w:spacing w:line="520" w:lineRule="exact"/>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本章附件： </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招标代理服务收费标准</w:t>
      </w:r>
      <w:r/>
    </w:p>
    <w:p>
      <w:pPr>
        <w:pStyle w:val="93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08"/>
        <w:tblW w:w="7539"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80"/>
        <w:gridCol w:w="1559"/>
      </w:tblGrid>
      <w:tr>
        <w:trPr>
          <w:jc w:val="center"/>
          <w:trHeight w:val="691"/>
        </w:trPr>
        <w:tc>
          <w:tcPr>
            <w:tcBorders>
              <w:top w:val="single" w:color="auto" w:sz="4" w:space="0"/>
              <w:left w:val="single" w:color="auto" w:sz="4" w:space="0"/>
              <w:bottom w:val="single" w:color="auto" w:sz="4" w:space="0"/>
              <w:right w:val="single" w:color="auto" w:sz="4" w:space="0"/>
            </w:tcBorders>
            <w:tcW w:w="5980" w:type="dxa"/>
            <w:vAlign w:val="center"/>
            <w:textDirection w:val="lrTb"/>
            <w:noWrap w:val="false"/>
          </w:tcPr>
          <w:p>
            <w:pPr>
              <w:pStyle w:val="721"/>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中标金额或者成交金额</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721"/>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费率</w:t>
            </w:r>
            <w:r/>
          </w:p>
        </w:tc>
      </w:tr>
      <w:tr>
        <w:trPr>
          <w:jc w:val="center"/>
          <w:trHeight w:val="453"/>
        </w:trPr>
        <w:tc>
          <w:tcPr>
            <w:tcBorders>
              <w:top w:val="single" w:color="auto" w:sz="4" w:space="0"/>
            </w:tcBorders>
            <w:tcW w:w="5980" w:type="dxa"/>
            <w:vAlign w:val="center"/>
            <w:textDirection w:val="lrTb"/>
            <w:noWrap w:val="false"/>
          </w:tcPr>
          <w:p>
            <w:pPr>
              <w:pStyle w:val="721"/>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最低收费金额（每个委托项目）</w:t>
            </w:r>
            <w:r/>
          </w:p>
        </w:tc>
        <w:tc>
          <w:tcPr>
            <w:tcBorders>
              <w:top w:val="single" w:color="auto" w:sz="4" w:space="0"/>
            </w:tcBorders>
            <w:tcW w:w="1559" w:type="dxa"/>
            <w:vAlign w:val="center"/>
            <w:textDirection w:val="lrTb"/>
            <w:noWrap w:val="false"/>
          </w:tcPr>
          <w:p>
            <w:pPr>
              <w:pStyle w:val="721"/>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5000元</w:t>
            </w:r>
            <w:r/>
          </w:p>
        </w:tc>
      </w:tr>
      <w:tr>
        <w:trPr>
          <w:jc w:val="center"/>
          <w:trHeight w:val="453"/>
        </w:trPr>
        <w:tc>
          <w:tcPr>
            <w:tcBorders>
              <w:top w:val="single" w:color="auto" w:sz="4" w:space="0"/>
            </w:tcBorders>
            <w:tcW w:w="5980" w:type="dxa"/>
            <w:vAlign w:val="center"/>
            <w:textDirection w:val="lrTb"/>
            <w:noWrap w:val="false"/>
          </w:tcPr>
          <w:p>
            <w:pPr>
              <w:pStyle w:val="721"/>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w:t>
            </w:r>
            <w:r>
              <w:rPr>
                <w:rFonts w:hint="eastAsia" w:ascii="宋体" w:hAnsi="宋体" w:cs="宋体"/>
                <w:color w:val="000000" w:themeColor="text1"/>
                <w:sz w:val="24"/>
                <w:highlight w:val="none"/>
                <w14:textFill>
                  <w14:solidFill>
                    <w14:schemeClr w14:val="tx1"/>
                  </w14:solidFill>
                </w14:textFill>
              </w:rPr>
              <w:t xml:space="preserve">万元以下（含50万元）</w:t>
            </w:r>
            <w:r/>
          </w:p>
        </w:tc>
        <w:tc>
          <w:tcPr>
            <w:tcBorders>
              <w:top w:val="single" w:color="auto" w:sz="4" w:space="0"/>
            </w:tcBorders>
            <w:tcW w:w="1559" w:type="dxa"/>
            <w:vAlign w:val="center"/>
            <w:textDirection w:val="lrTb"/>
            <w:noWrap w:val="false"/>
          </w:tcPr>
          <w:p>
            <w:pPr>
              <w:pStyle w:val="721"/>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1.6%</w:t>
            </w:r>
            <w:r/>
          </w:p>
        </w:tc>
      </w:tr>
      <w:tr>
        <w:trPr>
          <w:jc w:val="center"/>
          <w:trHeight w:val="453"/>
        </w:trPr>
        <w:tc>
          <w:tcPr>
            <w:tcW w:w="5980" w:type="dxa"/>
            <w:vAlign w:val="center"/>
            <w:textDirection w:val="lrTb"/>
            <w:noWrap w:val="false"/>
          </w:tcPr>
          <w:p>
            <w:pPr>
              <w:pStyle w:val="721"/>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50-400</w:t>
            </w:r>
            <w:r>
              <w:rPr>
                <w:rFonts w:hint="eastAsia" w:ascii="宋体" w:hAnsi="宋体" w:cs="宋体"/>
                <w:color w:val="000000" w:themeColor="text1"/>
                <w:sz w:val="24"/>
                <w:highlight w:val="none"/>
                <w14:textFill>
                  <w14:solidFill>
                    <w14:schemeClr w14:val="tx1"/>
                  </w14:solidFill>
                </w14:textFill>
              </w:rPr>
              <w:t xml:space="preserve">万元（含400万元）</w:t>
            </w:r>
            <w:r/>
          </w:p>
        </w:tc>
        <w:tc>
          <w:tcPr>
            <w:tcW w:w="1559" w:type="dxa"/>
            <w:vAlign w:val="center"/>
            <w:textDirection w:val="lrTb"/>
            <w:noWrap w:val="false"/>
          </w:tcPr>
          <w:p>
            <w:pPr>
              <w:pStyle w:val="721"/>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w:t>
            </w:r>
            <w:r/>
          </w:p>
        </w:tc>
      </w:tr>
      <w:tr>
        <w:trPr>
          <w:jc w:val="center"/>
          <w:trHeight w:val="453"/>
        </w:trPr>
        <w:tc>
          <w:tcPr>
            <w:tcW w:w="5980" w:type="dxa"/>
            <w:vAlign w:val="center"/>
            <w:textDirection w:val="lrTb"/>
            <w:noWrap w:val="false"/>
          </w:tcPr>
          <w:p>
            <w:pPr>
              <w:pStyle w:val="721"/>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400-</w:t>
            </w:r>
            <w:r>
              <w:rPr>
                <w:rFonts w:hint="eastAsia" w:ascii="宋体" w:hAnsi="宋体" w:cs="宋体"/>
                <w:color w:val="000000" w:themeColor="text1"/>
                <w:sz w:val="24"/>
                <w:highlight w:val="none"/>
                <w14:textFill>
                  <w14:solidFill>
                    <w14:schemeClr w14:val="tx1"/>
                  </w14:solidFill>
                </w14:textFill>
              </w:rPr>
              <w:t xml:space="preserve">1000万元（含1000万元）</w:t>
            </w:r>
            <w:r/>
          </w:p>
        </w:tc>
        <w:tc>
          <w:tcPr>
            <w:tcW w:w="1559" w:type="dxa"/>
            <w:vAlign w:val="center"/>
            <w:textDirection w:val="lrTb"/>
            <w:noWrap w:val="false"/>
          </w:tcPr>
          <w:p>
            <w:pPr>
              <w:pStyle w:val="721"/>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w:t>
            </w:r>
            <w:r/>
          </w:p>
        </w:tc>
      </w:tr>
      <w:tr>
        <w:trPr>
          <w:jc w:val="center"/>
          <w:trHeight w:val="466"/>
        </w:trPr>
        <w:tc>
          <w:tcPr>
            <w:tcW w:w="5980" w:type="dxa"/>
            <w:vAlign w:val="center"/>
            <w:textDirection w:val="lrTb"/>
            <w:noWrap w:val="false"/>
          </w:tcPr>
          <w:p>
            <w:pPr>
              <w:pStyle w:val="721"/>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1000-5000万元（含5000万元）</w:t>
            </w:r>
            <w:r/>
          </w:p>
        </w:tc>
        <w:tc>
          <w:tcPr>
            <w:tcW w:w="1559" w:type="dxa"/>
            <w:vAlign w:val="center"/>
            <w:textDirection w:val="lrTb"/>
            <w:noWrap w:val="false"/>
          </w:tcPr>
          <w:p>
            <w:pPr>
              <w:pStyle w:val="721"/>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0.8%</w:t>
            </w:r>
            <w:r/>
          </w:p>
        </w:tc>
      </w:tr>
      <w:tr>
        <w:trPr>
          <w:jc w:val="center"/>
          <w:trHeight w:val="466"/>
        </w:trPr>
        <w:tc>
          <w:tcPr>
            <w:tcW w:w="5980" w:type="dxa"/>
            <w:vAlign w:val="center"/>
            <w:textDirection w:val="lrTb"/>
            <w:noWrap w:val="false"/>
          </w:tcPr>
          <w:p>
            <w:pPr>
              <w:pStyle w:val="721"/>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5000-l亿元（含1亿元）</w:t>
            </w:r>
            <w:r/>
          </w:p>
        </w:tc>
        <w:tc>
          <w:tcPr>
            <w:tcW w:w="1559" w:type="dxa"/>
            <w:vAlign w:val="center"/>
            <w:textDirection w:val="lrTb"/>
            <w:noWrap w:val="false"/>
          </w:tcPr>
          <w:p>
            <w:pPr>
              <w:pStyle w:val="721"/>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0.25%</w:t>
            </w:r>
            <w:r/>
          </w:p>
        </w:tc>
      </w:tr>
      <w:tr>
        <w:trPr>
          <w:jc w:val="center"/>
          <w:trHeight w:val="466"/>
        </w:trPr>
        <w:tc>
          <w:tcPr>
            <w:tcW w:w="5980" w:type="dxa"/>
            <w:vAlign w:val="center"/>
            <w:textDirection w:val="lrTb"/>
            <w:noWrap w:val="false"/>
          </w:tcPr>
          <w:p>
            <w:pPr>
              <w:pStyle w:val="721"/>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1-10</w:t>
            </w:r>
            <w:r>
              <w:rPr>
                <w:rFonts w:hint="eastAsia" w:ascii="宋体" w:hAnsi="宋体" w:cs="宋体"/>
                <w:color w:val="000000" w:themeColor="text1"/>
                <w:sz w:val="24"/>
                <w:highlight w:val="none"/>
                <w14:textFill>
                  <w14:solidFill>
                    <w14:schemeClr w14:val="tx1"/>
                  </w14:solidFill>
                </w14:textFill>
              </w:rPr>
              <w:t xml:space="preserve">亿元（含10亿元）</w:t>
            </w:r>
            <w:r/>
          </w:p>
        </w:tc>
        <w:tc>
          <w:tcPr>
            <w:tcW w:w="1559" w:type="dxa"/>
            <w:vAlign w:val="center"/>
            <w:textDirection w:val="lrTb"/>
            <w:noWrap w:val="false"/>
          </w:tcPr>
          <w:p>
            <w:pPr>
              <w:pStyle w:val="721"/>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0.05%</w:t>
            </w:r>
            <w:r/>
          </w:p>
        </w:tc>
      </w:tr>
      <w:tr>
        <w:trPr>
          <w:jc w:val="center"/>
          <w:trHeight w:val="466"/>
        </w:trPr>
        <w:tc>
          <w:tcPr>
            <w:tcW w:w="5980" w:type="dxa"/>
            <w:vAlign w:val="center"/>
            <w:textDirection w:val="lrTb"/>
            <w:noWrap w:val="false"/>
          </w:tcPr>
          <w:p>
            <w:pPr>
              <w:pStyle w:val="721"/>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10-50</w:t>
            </w:r>
            <w:r>
              <w:rPr>
                <w:rFonts w:hint="eastAsia" w:ascii="宋体" w:hAnsi="宋体" w:cs="宋体"/>
                <w:color w:val="000000" w:themeColor="text1"/>
                <w:sz w:val="24"/>
                <w:highlight w:val="none"/>
                <w14:textFill>
                  <w14:solidFill>
                    <w14:schemeClr w14:val="tx1"/>
                  </w14:solidFill>
                </w14:textFill>
              </w:rPr>
              <w:t xml:space="preserve">亿元（含50亿元）</w:t>
            </w:r>
            <w:r/>
          </w:p>
        </w:tc>
        <w:tc>
          <w:tcPr>
            <w:tcW w:w="1559" w:type="dxa"/>
            <w:vAlign w:val="center"/>
            <w:textDirection w:val="lrTb"/>
            <w:noWrap w:val="false"/>
          </w:tcPr>
          <w:p>
            <w:pPr>
              <w:pStyle w:val="721"/>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0.01%</w:t>
            </w:r>
            <w:r/>
          </w:p>
        </w:tc>
      </w:tr>
      <w:tr>
        <w:trPr>
          <w:jc w:val="center"/>
          <w:trHeight w:val="475"/>
        </w:trPr>
        <w:tc>
          <w:tcPr>
            <w:tcW w:w="5980" w:type="dxa"/>
            <w:vAlign w:val="center"/>
            <w:textDirection w:val="lrTb"/>
            <w:noWrap w:val="false"/>
          </w:tcPr>
          <w:p>
            <w:pPr>
              <w:pStyle w:val="721"/>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50亿元以上</w:t>
            </w:r>
            <w:r/>
          </w:p>
        </w:tc>
        <w:tc>
          <w:tcPr>
            <w:tcW w:w="1559" w:type="dxa"/>
            <w:vAlign w:val="center"/>
            <w:textDirection w:val="lrTb"/>
            <w:noWrap w:val="false"/>
          </w:tcPr>
          <w:p>
            <w:pPr>
              <w:pStyle w:val="721"/>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0.005%</w:t>
            </w:r>
            <w:r/>
          </w:p>
        </w:tc>
      </w:tr>
    </w:tbl>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说明：</w:t>
      </w:r>
      <w:r/>
    </w:p>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1.按上表计算的收费为代理服务全过程的收费金额。各社会代理机构不再收取采购文件制作售卖费用。</w:t>
      </w:r>
      <w:r/>
    </w:p>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2.代理服务费按差额定率累进法计算。</w:t>
      </w:r>
      <w:r/>
    </w:p>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3.代理服务费基准金额（按差额定率累进法计算的）=中标金额（按差额定率累进法计算的）* 费率（%）</w:t>
      </w:r>
      <w:r/>
    </w:p>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4.代理服务费应收取金额=代理服务费基准金额（按差额定率累进法计算的）的合计数。</w:t>
      </w:r>
      <w:r/>
    </w:p>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.定点类等无金额或事先不能计算出价格总额的项目，按中标（成交）金额100万元计算服务费。</w:t>
      </w:r>
      <w:r/>
    </w:p>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.有分包（分标段）的按一个项目计算。</w:t>
      </w:r>
      <w:r/>
    </w:p>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以上价格为协会指导价，双方可根据项目难易程度和优质优价原则协商确定。</w:t>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clear="all"/>
      </w:r>
      <w:r/>
    </w:p>
    <w:p>
      <w:pPr>
        <w:numPr>
          <w:ilvl w:val="0"/>
          <w:numId w:val="3"/>
        </w:numPr>
        <w:jc w:val="center"/>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评标标准</w:t>
      </w:r>
      <w:r/>
    </w:p>
    <w:tbl>
      <w:tblPr>
        <w:tblStyle w:val="708"/>
        <w:tblW w:w="5166"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58"/>
        <w:gridCol w:w="1418"/>
        <w:gridCol w:w="7718"/>
      </w:tblGrid>
      <w:tr>
        <w:trPr>
          <w:jc w:val="center"/>
        </w:trPr>
        <w:tc>
          <w:tcPr>
            <w:gridSpan w:val="2"/>
            <w:tcW w:w="2576" w:type="dxa"/>
            <w:vAlign w:val="center"/>
            <w:textDirection w:val="lrTb"/>
            <w:noWrap/>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评审因素</w:t>
            </w:r>
            <w:r/>
          </w:p>
        </w:tc>
        <w:tc>
          <w:tcPr>
            <w:tcW w:w="7718" w:type="dxa"/>
            <w:vAlign w:val="center"/>
            <w:textDirection w:val="lrTb"/>
            <w:noWrap/>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评审因素细化和量化</w:t>
            </w:r>
            <w:r/>
          </w:p>
        </w:tc>
      </w:tr>
      <w:tr>
        <w:trPr>
          <w:jc w:val="center"/>
          <w:trHeight w:val="90"/>
        </w:trPr>
        <w:tc>
          <w:tcPr>
            <w:tcW w:w="1158" w:type="dxa"/>
            <w:vAlign w:val="center"/>
            <w:textDirection w:val="lrTb"/>
            <w:noWrap/>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价格部分（3</w:t>
            </w:r>
            <w:r>
              <w:rPr>
                <w:rFonts w:hint="eastAsia" w:ascii="宋体" w:hAnsi="宋体" w:cs="宋体"/>
                <w:color w:val="auto"/>
                <w:sz w:val="21"/>
                <w:szCs w:val="21"/>
                <w:lang w:val="en-US" w:eastAsia="zh-CN"/>
              </w:rPr>
              <w:t xml:space="preserve">0</w:t>
            </w:r>
            <w:r>
              <w:rPr>
                <w:rFonts w:hint="eastAsia" w:ascii="宋体" w:hAnsi="宋体" w:eastAsia="宋体" w:cs="宋体"/>
                <w:color w:val="auto"/>
                <w:sz w:val="21"/>
                <w:szCs w:val="21"/>
              </w:rPr>
              <w:t xml:space="preserve">分）</w:t>
            </w:r>
            <w:r/>
          </w:p>
        </w:tc>
        <w:tc>
          <w:tcPr>
            <w:tcW w:w="1418" w:type="dxa"/>
            <w:vAlign w:val="center"/>
            <w:textDirection w:val="lrTb"/>
            <w:noWrap/>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价格</w:t>
            </w:r>
            <w:r/>
          </w:p>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30分）</w:t>
            </w:r>
            <w:r/>
          </w:p>
        </w:tc>
        <w:tc>
          <w:tcPr>
            <w:tcW w:w="7718" w:type="dxa"/>
            <w:vAlign w:val="center"/>
            <w:textDirection w:val="lrTb"/>
            <w:noWrap/>
          </w:tcPr>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各投标人价格得分=最低报价（投标人的最低评审价格）÷各投标人评审价格×30投标人所投产品全部为小微企业制造或投标人及所投产品全部为监狱企业、享受政府采购支持政策的残疾人福利性单位的（以投标人提供的《分项价格表》、《中小企业声明函》、监狱企业证明文件和《残疾人福利性单位声明函》等相关材料为准），给予10%的价格扣除，用扣除后的价格参加评审。该投标人的评审价格=《开标一览表》中的“总价”*（100%-10%）</w:t>
            </w:r>
            <w:r/>
          </w:p>
        </w:tc>
      </w:tr>
      <w:tr>
        <w:trPr>
          <w:cantSplit/>
          <w:jc w:val="center"/>
          <w:trHeight w:val="2084"/>
        </w:trPr>
        <w:tc>
          <w:tcPr>
            <w:tcW w:w="1158" w:type="dxa"/>
            <w:vAlign w:val="center"/>
            <w:textDirection w:val="lrTb"/>
            <w:noWrap/>
          </w:tcPr>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技术部分（</w:t>
            </w:r>
            <w:r>
              <w:rPr>
                <w:rFonts w:hint="eastAsia" w:ascii="宋体" w:hAnsi="宋体" w:cs="宋体"/>
                <w:color w:val="auto"/>
                <w:sz w:val="21"/>
                <w:szCs w:val="21"/>
                <w:lang w:val="en-US" w:eastAsia="zh-CN"/>
              </w:rPr>
              <w:t xml:space="preserve">35</w:t>
            </w:r>
            <w:r>
              <w:rPr>
                <w:rFonts w:hint="eastAsia" w:ascii="宋体" w:hAnsi="宋体" w:eastAsia="宋体" w:cs="宋体"/>
                <w:color w:val="auto"/>
                <w:sz w:val="21"/>
                <w:szCs w:val="21"/>
              </w:rPr>
              <w:t xml:space="preserve">分）</w:t>
            </w:r>
            <w:r/>
          </w:p>
        </w:tc>
        <w:tc>
          <w:tcPr>
            <w:tcW w:w="1418" w:type="dxa"/>
            <w:vAlign w:val="center"/>
            <w:textDirection w:val="lrTb"/>
            <w:noWrap/>
          </w:tcPr>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技术参数</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35</w:t>
            </w:r>
            <w:r>
              <w:rPr>
                <w:rFonts w:hint="eastAsia" w:ascii="宋体" w:hAnsi="宋体" w:eastAsia="宋体" w:cs="宋体"/>
                <w:color w:val="auto"/>
                <w:sz w:val="21"/>
                <w:szCs w:val="21"/>
              </w:rPr>
              <w:t xml:space="preserve">分）</w:t>
            </w:r>
            <w:r/>
          </w:p>
        </w:tc>
        <w:tc>
          <w:tcPr>
            <w:tcBorders>
              <w:bottom w:val="single" w:color="000000" w:sz="4" w:space="0"/>
            </w:tcBorders>
            <w:tcW w:w="7718" w:type="dxa"/>
            <w:vAlign w:val="center"/>
            <w:textDirection w:val="lrTb"/>
            <w:noWrap/>
          </w:tcPr>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供应商完全响应招标文件技术参数、功能、质量等要求的得30分。招标文件技术参数中加“★”标志的为重要响应指标，每有一项不满足的扣3分；其他技术指标，每有一项不满足的扣2分；本项最低得0分。高于参数要求的每一项加1分；最高加5分。</w:t>
            </w:r>
            <w:r/>
          </w:p>
        </w:tc>
      </w:tr>
      <w:tr>
        <w:trPr>
          <w:cantSplit/>
          <w:jc w:val="center"/>
          <w:trHeight w:val="1358"/>
        </w:trPr>
        <w:tc>
          <w:tcPr>
            <w:tcW w:w="1158" w:type="dxa"/>
            <w:vAlign w:val="center"/>
            <w:vMerge w:val="restart"/>
            <w:textDirection w:val="lrTb"/>
            <w:noWrap/>
          </w:tcPr>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商务部分（35分）</w:t>
            </w:r>
            <w:r/>
          </w:p>
        </w:tc>
        <w:tc>
          <w:tcPr>
            <w:tcW w:w="1418" w:type="dxa"/>
            <w:vAlign w:val="center"/>
            <w:textDirection w:val="lrTb"/>
            <w:noWrap/>
          </w:tcPr>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管理体系认证</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rPr>
              <w:t xml:space="preserve">3</w:t>
            </w:r>
            <w:r>
              <w:rPr>
                <w:rFonts w:hint="eastAsia" w:ascii="宋体" w:hAnsi="宋体" w:eastAsia="宋体" w:cs="宋体"/>
                <w:color w:val="auto"/>
                <w:sz w:val="21"/>
                <w:szCs w:val="21"/>
              </w:rPr>
              <w:t xml:space="preserve">分）</w:t>
            </w:r>
            <w:r/>
          </w:p>
        </w:tc>
        <w:tc>
          <w:tcPr>
            <w:tcBorders>
              <w:bottom w:val="single" w:color="000000" w:sz="4" w:space="0"/>
            </w:tcBorders>
            <w:tcW w:w="7718" w:type="dxa"/>
            <w:vAlign w:val="center"/>
            <w:textDirection w:val="lrTb"/>
            <w:noWrap/>
          </w:tcPr>
          <w:p>
            <w:pPr>
              <w:pStyle w:val="953"/>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投标供应商有效的质量管理体系（ISO9001或GB/T19001）、环境管理体系（ISO14001或GB/T24001）、职业健康安全管理体系（OHSAS18001或ISO45001或GB/T28001）认证证书彩色扫描件，每有一项得</w:t>
            </w:r>
            <w:r>
              <w:rPr>
                <w:rFonts w:hint="eastAsia" w:ascii="宋体" w:hAnsi="宋体" w:eastAsia="宋体" w:cs="宋体"/>
                <w:color w:val="auto"/>
                <w:sz w:val="21"/>
                <w:szCs w:val="21"/>
                <w:lang w:val="en-US"/>
              </w:rPr>
              <w:t xml:space="preserve">1</w:t>
            </w:r>
            <w:r>
              <w:rPr>
                <w:rFonts w:hint="eastAsia" w:ascii="宋体" w:hAnsi="宋体" w:eastAsia="宋体" w:cs="宋体"/>
                <w:color w:val="auto"/>
                <w:sz w:val="21"/>
                <w:szCs w:val="21"/>
              </w:rPr>
              <w:t xml:space="preserve">分，最高</w:t>
            </w:r>
            <w:r>
              <w:rPr>
                <w:rFonts w:hint="eastAsia" w:ascii="宋体" w:hAnsi="宋体" w:eastAsia="宋体" w:cs="宋体"/>
                <w:color w:val="auto"/>
                <w:sz w:val="21"/>
                <w:szCs w:val="21"/>
                <w:lang w:val="en-US"/>
              </w:rPr>
              <w:t xml:space="preserve">3</w:t>
            </w:r>
            <w:r>
              <w:rPr>
                <w:rFonts w:hint="eastAsia" w:ascii="宋体" w:hAnsi="宋体" w:eastAsia="宋体" w:cs="宋体"/>
                <w:color w:val="auto"/>
                <w:sz w:val="21"/>
                <w:szCs w:val="21"/>
              </w:rPr>
              <w:t xml:space="preserve">分。</w:t>
            </w:r>
            <w:r/>
          </w:p>
        </w:tc>
      </w:tr>
      <w:tr>
        <w:trPr>
          <w:cantSplit/>
          <w:jc w:val="center"/>
          <w:trHeight w:val="1358"/>
        </w:trPr>
        <w:tc>
          <w:tcPr>
            <w:tcW w:w="1158" w:type="dxa"/>
            <w:vAlign w:val="center"/>
            <w:vMerge w:val="continue"/>
            <w:textDirection w:val="lrTb"/>
            <w:noWrap/>
          </w:tcPr>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18" w:type="dxa"/>
            <w:vAlign w:val="center"/>
            <w:textDirection w:val="lrTb"/>
            <w:noWrap/>
          </w:tcPr>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综合评价</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（5分）</w:t>
            </w:r>
            <w:r/>
          </w:p>
        </w:tc>
        <w:tc>
          <w:tcPr>
            <w:tcBorders>
              <w:bottom w:val="single" w:color="000000" w:sz="4" w:space="0"/>
            </w:tcBorders>
            <w:tcW w:w="7718" w:type="dxa"/>
            <w:vAlign w:val="center"/>
            <w:textDirection w:val="lrTb"/>
            <w:noWrap/>
          </w:tcPr>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投标供应商供货组织方案，包括订货计划、运输计划、配送计划等，方案完善、合理、内容详细得5分；方案较完善、较合理、内容较详细得3分；方案不完善、不太合理、内容不详细得1分，未提供不得分。</w:t>
            </w:r>
            <w:r/>
          </w:p>
        </w:tc>
      </w:tr>
      <w:tr>
        <w:trPr>
          <w:cantSplit/>
          <w:jc w:val="center"/>
          <w:trHeight w:val="1358"/>
        </w:trPr>
        <w:tc>
          <w:tcPr>
            <w:tcW w:w="1158" w:type="dxa"/>
            <w:vAlign w:val="center"/>
            <w:vMerge w:val="continue"/>
            <w:textDirection w:val="lrTb"/>
            <w:noWrap/>
          </w:tcPr>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18" w:type="dxa"/>
            <w:vAlign w:val="center"/>
            <w:textDirection w:val="lrTb"/>
            <w:noWrap/>
          </w:tcPr>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投标人业绩</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rPr>
              <w:t xml:space="preserve">2</w:t>
            </w:r>
            <w:r>
              <w:rPr>
                <w:rFonts w:hint="eastAsia" w:ascii="宋体" w:hAnsi="宋体" w:eastAsia="宋体" w:cs="宋体"/>
                <w:color w:val="auto"/>
                <w:sz w:val="21"/>
                <w:szCs w:val="21"/>
              </w:rPr>
              <w:t xml:space="preserve">分）</w:t>
            </w:r>
            <w:r/>
          </w:p>
        </w:tc>
        <w:tc>
          <w:tcPr>
            <w:tcBorders>
              <w:bottom w:val="single" w:color="000000" w:sz="4" w:space="0"/>
            </w:tcBorders>
            <w:tcW w:w="7718" w:type="dxa"/>
            <w:vAlign w:val="center"/>
            <w:textDirection w:val="lrTb"/>
            <w:noWrap/>
          </w:tcPr>
          <w:p>
            <w:pPr>
              <w:pStyle w:val="953"/>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投标供应商投标时，需提供近202</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年</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月1日至今消防车辆采购项目业绩的，每提供一份得1分，最高得</w:t>
            </w:r>
            <w:r>
              <w:rPr>
                <w:rFonts w:hint="eastAsia" w:ascii="宋体" w:hAnsi="宋体" w:eastAsia="宋体" w:cs="宋体"/>
                <w:color w:val="auto"/>
                <w:sz w:val="21"/>
                <w:szCs w:val="21"/>
                <w:lang w:val="en-US"/>
              </w:rPr>
              <w:t xml:space="preserve">2</w:t>
            </w:r>
            <w:r>
              <w:rPr>
                <w:rFonts w:hint="eastAsia" w:ascii="宋体" w:hAnsi="宋体" w:eastAsia="宋体" w:cs="宋体"/>
                <w:color w:val="auto"/>
                <w:sz w:val="21"/>
                <w:szCs w:val="21"/>
              </w:rPr>
              <w:t xml:space="preserve">分。注：业绩证明材料须提供合同原件和中标通知书原件扫描件，未提供不得分。</w:t>
            </w:r>
            <w:r/>
          </w:p>
        </w:tc>
      </w:tr>
      <w:tr>
        <w:trPr>
          <w:cantSplit/>
          <w:jc w:val="center"/>
          <w:trHeight w:val="1358"/>
        </w:trPr>
        <w:tc>
          <w:tcPr>
            <w:tcW w:w="1158" w:type="dxa"/>
            <w:vAlign w:val="center"/>
            <w:vMerge w:val="continue"/>
            <w:textDirection w:val="lrTb"/>
            <w:noWrap/>
          </w:tcPr>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18" w:type="dxa"/>
            <w:vAlign w:val="center"/>
            <w:textDirection w:val="lrTb"/>
            <w:noWrap/>
          </w:tcPr>
          <w:p>
            <w:pPr>
              <w:pStyle w:val="719"/>
              <w:ind w:left="0" w:firstLine="0"/>
              <w:keepLines w:val="0"/>
              <w:keepNext w:val="0"/>
              <w:pageBreakBefore w:val="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认证证书</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5分</w:t>
            </w:r>
            <w:r>
              <w:rPr>
                <w:rFonts w:hint="eastAsia" w:ascii="宋体" w:hAnsi="宋体" w:eastAsia="宋体" w:cs="宋体"/>
                <w:color w:val="auto"/>
                <w:sz w:val="21"/>
                <w:szCs w:val="21"/>
                <w:lang w:eastAsia="zh-CN"/>
              </w:rPr>
              <w:t xml:space="preserve">）</w:t>
            </w:r>
            <w:r/>
          </w:p>
        </w:tc>
        <w:tc>
          <w:tcPr>
            <w:tcBorders>
              <w:bottom w:val="single" w:color="000000" w:sz="4" w:space="0"/>
            </w:tcBorders>
            <w:tcW w:w="7718" w:type="dxa"/>
            <w:vAlign w:val="center"/>
            <w:textDirection w:val="lrTb"/>
            <w:noWrap/>
          </w:tcPr>
          <w:p>
            <w:pPr>
              <w:pStyle w:val="953"/>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能够提供所投车辆消防产品认证证书（提供国家级评定中心颁布的该车辆型号的消防产品认证证书复印件，及中国消防产品信息网查询页打印件）的得 </w:t>
            </w:r>
            <w:r>
              <w:rPr>
                <w:rFonts w:hint="eastAsia" w:ascii="宋体" w:hAnsi="宋体" w:eastAsia="宋体" w:cs="宋体"/>
                <w:color w:val="auto"/>
                <w:sz w:val="21"/>
                <w:szCs w:val="21"/>
                <w:lang w:val="en-US"/>
              </w:rPr>
              <w:t xml:space="preserve">5</w:t>
            </w:r>
            <w:r>
              <w:rPr>
                <w:rFonts w:hint="eastAsia" w:ascii="宋体" w:hAnsi="宋体" w:eastAsia="宋体" w:cs="宋体"/>
                <w:color w:val="auto"/>
                <w:sz w:val="21"/>
                <w:szCs w:val="21"/>
              </w:rPr>
              <w:t xml:space="preserve"> 分，否则不得分。</w:t>
            </w:r>
            <w:r/>
          </w:p>
        </w:tc>
      </w:tr>
      <w:tr>
        <w:trPr>
          <w:cantSplit/>
          <w:jc w:val="center"/>
          <w:trHeight w:val="641"/>
        </w:trPr>
        <w:tc>
          <w:tcPr>
            <w:tcW w:w="1158" w:type="dxa"/>
            <w:vAlign w:val="center"/>
            <w:vMerge w:val="continue"/>
            <w:textDirection w:val="lrTb"/>
            <w:noWrap/>
          </w:tcPr>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18" w:type="dxa"/>
            <w:vAlign w:val="center"/>
            <w:vMerge w:val="restart"/>
            <w:textDirection w:val="lrTb"/>
            <w:noWrap/>
          </w:tcPr>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售后服务</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（20分）</w:t>
            </w:r>
            <w:r/>
          </w:p>
        </w:tc>
        <w:tc>
          <w:tcPr>
            <w:tcBorders>
              <w:bottom w:val="single" w:color="000000" w:sz="4" w:space="0"/>
            </w:tcBorders>
            <w:tcW w:w="7718" w:type="dxa"/>
            <w:vAlign w:val="center"/>
            <w:textDirection w:val="lrTb"/>
            <w:noWrap/>
          </w:tcPr>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1、1年免费质保期得2分，每增1年免费质保加1分，</w:t>
            </w:r>
            <w:r>
              <w:rPr>
                <w:rFonts w:hint="eastAsia" w:ascii="宋体" w:hAnsi="宋体" w:cs="宋体"/>
                <w:color w:val="auto"/>
                <w:sz w:val="21"/>
                <w:szCs w:val="21"/>
                <w:lang w:eastAsia="zh-CN"/>
              </w:rPr>
              <w:t xml:space="preserve">本项目得分</w:t>
            </w:r>
            <w:r>
              <w:rPr>
                <w:rFonts w:hint="eastAsia" w:ascii="宋体" w:hAnsi="宋体" w:eastAsia="宋体" w:cs="宋体"/>
                <w:color w:val="auto"/>
                <w:sz w:val="21"/>
                <w:szCs w:val="21"/>
              </w:rPr>
              <w:t xml:space="preserve">最高不超过</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分（评审依据：投标人提供售后服务承诺函）</w:t>
            </w:r>
            <w:r/>
          </w:p>
        </w:tc>
      </w:tr>
      <w:tr>
        <w:trPr>
          <w:cantSplit/>
          <w:jc w:val="center"/>
          <w:trHeight w:val="1878"/>
        </w:trPr>
        <w:tc>
          <w:tcPr>
            <w:tcW w:w="1158" w:type="dxa"/>
            <w:vAlign w:val="center"/>
            <w:vMerge w:val="continue"/>
            <w:textDirection w:val="lrTb"/>
            <w:noWrap/>
          </w:tcPr>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18" w:type="dxa"/>
            <w:vAlign w:val="center"/>
            <w:vMerge w:val="continue"/>
            <w:textDirection w:val="lrTb"/>
            <w:noWrap/>
          </w:tcPr>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tcBorders>
            <w:tcW w:w="7718" w:type="dxa"/>
            <w:vAlign w:val="center"/>
            <w:textDirection w:val="lrTb"/>
            <w:noWrap/>
          </w:tcPr>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2、投标人针对本项目的售后服务方案进行评分，方案内容不限</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于①服务承诺及条款②服务响应方案③备件（易耗品）供应方案④服务人员配备⑤应急措施⑥质保外服务措施等方案完整、合理可行的得</w:t>
            </w:r>
            <w:r>
              <w:rPr>
                <w:rFonts w:hint="eastAsia" w:ascii="宋体" w:hAnsi="宋体" w:cs="宋体"/>
                <w:color w:val="auto"/>
                <w:sz w:val="21"/>
                <w:szCs w:val="21"/>
                <w:lang w:val="en-US" w:eastAsia="zh-CN"/>
              </w:rPr>
              <w:t xml:space="preserve">12</w:t>
            </w:r>
            <w:r>
              <w:rPr>
                <w:rFonts w:hint="eastAsia" w:ascii="宋体" w:hAnsi="宋体" w:eastAsia="宋体" w:cs="宋体"/>
                <w:color w:val="auto"/>
                <w:sz w:val="21"/>
                <w:szCs w:val="21"/>
              </w:rPr>
              <w:t xml:space="preserve">分；方案较完整、较合理可行的得</w:t>
            </w: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rPr>
              <w:t xml:space="preserve">分；方案针对性不强、不够完整的得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分，方案不完整不可行或未提供的得0分。</w:t>
            </w:r>
            <w:r/>
          </w:p>
        </w:tc>
      </w:tr>
      <w:tr>
        <w:trPr>
          <w:cantSplit/>
          <w:jc w:val="center"/>
          <w:trHeight w:val="2808"/>
        </w:trPr>
        <w:tc>
          <w:tcPr>
            <w:tcW w:w="1158" w:type="dxa"/>
            <w:vAlign w:val="center"/>
            <w:vMerge w:val="continue"/>
            <w:textDirection w:val="lrTb"/>
            <w:noWrap/>
          </w:tcPr>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W w:w="1418" w:type="dxa"/>
            <w:vAlign w:val="center"/>
            <w:vMerge w:val="continue"/>
            <w:textDirection w:val="lrTb"/>
            <w:noWrap/>
          </w:tcPr>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bottom w:val="single" w:color="000000" w:sz="4" w:space="0"/>
            </w:tcBorders>
            <w:tcW w:w="7718" w:type="dxa"/>
            <w:vAlign w:val="center"/>
            <w:textDirection w:val="lrTb"/>
            <w:noWrap/>
          </w:tcPr>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3、供应商售后服务承诺</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10分响应， 2小时到达现场，4小时解决问题，得</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30小时响应，4小时到达现场，8小时解决问题，得</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分；</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1小时响应，8小时到达现场，24小时解决问题，得1分；</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其余不得分。评分时以响应、到达、解决问题时间三者中最长的时间评分。提供能够实现售后承诺的证明材料并加盖公章。</w:t>
            </w:r>
            <w:r/>
          </w:p>
        </w:tc>
      </w:tr>
    </w:tbl>
    <w:p>
      <w:pPr>
        <w:jc w:val="left"/>
        <w:spacing w:line="460" w:lineRule="exact"/>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r>
      <w:r/>
    </w:p>
    <w:p>
      <w:pPr>
        <w:pStyle w:val="719"/>
        <w:ind w:left="0" w:firstLine="0"/>
        <w:keepLines w:val="0"/>
        <w:keepNext w:val="0"/>
        <w:pageBreakBefore w:val="0"/>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auto"/>
          <w:sz w:val="21"/>
          <w:szCs w:val="21"/>
        </w:rPr>
        <w:t xml:space="preserve">注：评分结果精确到小数点后两位。</w:t>
      </w: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ind w:firstLine="472"/>
        <w:jc w:val="center"/>
        <w:spacing w:line="460" w:lineRule="exact"/>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第五章  拟签订的合同文本</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482"/>
        <w:jc w:val="center"/>
        <w:spacing w:line="360" w:lineRule="auto"/>
        <w:rPr>
          <w:rFonts w:hint="default" w:ascii="宋体" w:hAnsi="宋体" w:eastAsia="宋体" w:cs="宋体"/>
          <w:b/>
          <w:color w:val="000000" w:themeColor="text1"/>
          <w:sz w:val="52"/>
          <w:szCs w:val="52"/>
          <w:highlight w:val="none"/>
          <w:lang w:val="en-US" w:eastAsia="zh-CN"/>
          <w14:textFill>
            <w14:solidFill>
              <w14:schemeClr w14:val="tx1"/>
            </w14:solidFill>
          </w14:textFill>
        </w:rPr>
      </w:pPr>
      <w:r>
        <w:rPr>
          <w:rFonts w:hint="eastAsia" w:ascii="宋体" w:hAnsi="宋体" w:eastAsia="宋体" w:cs="宋体"/>
          <w:b/>
          <w:color w:val="000000" w:themeColor="text1"/>
          <w:sz w:val="52"/>
          <w:szCs w:val="52"/>
          <w:highlight w:val="none"/>
          <w:lang w:val="en-US" w:eastAsia="zh-CN"/>
          <w14:textFill>
            <w14:solidFill>
              <w14:schemeClr w14:val="tx1"/>
            </w14:solidFill>
          </w14:textFill>
        </w:rPr>
        <w:t xml:space="preserve">政 府 采 购 合 同</w:t>
      </w:r>
      <w:r/>
    </w:p>
    <w:p>
      <w:pPr>
        <w:ind w:firstLine="482"/>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（以采购人与成交供应商最终签订版本为准）</w:t>
      </w:r>
      <w:r/>
    </w:p>
    <w:p>
      <w:pPr>
        <w:pStyle w:val="93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8"/>
        <w:ind w:left="0" w:firstLine="480"/>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18"/>
        <w:ind w:left="0" w:firstLine="480"/>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p>
      <w:pPr>
        <w:pStyle w:val="718"/>
        <w:ind w:left="0" w:firstLine="480"/>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p>
    <w:p>
      <w:pPr>
        <w:pStyle w:val="718"/>
        <w:ind w:left="0" w:firstLine="480"/>
        <w:jc w:val="left"/>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18"/>
        <w:ind w:left="0" w:firstLine="480"/>
        <w:jc w:val="left"/>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718"/>
        <w:ind w:left="0" w:firstLine="480"/>
        <w:jc w:val="left"/>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  购  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18"/>
        <w:ind w:left="0" w:firstLine="480"/>
        <w:jc w:val="left"/>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18"/>
        <w:ind w:left="0" w:firstLine="480"/>
        <w:jc w:val="left"/>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合同签订日期：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月 日</w:t>
      </w:r>
      <w:r/>
    </w:p>
    <w:p>
      <w:pPr>
        <w:pStyle w:val="721"/>
        <w:ind w:firstLine="56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21"/>
        <w:ind w:firstLine="56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21"/>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友情提醒：采购人与中标、成交供应商应当在中标、成交通知书发出之日起</w:t>
      </w:r>
      <w:r>
        <w:rPr>
          <w:rFonts w:hint="eastAsia" w:ascii="宋体" w:hAnsi="宋体" w:eastAsia="宋体" w:cs="宋体"/>
          <w:b/>
          <w:bCs/>
          <w:color w:val="000000" w:themeColor="text1"/>
          <w:sz w:val="24"/>
          <w:szCs w:val="24"/>
          <w:highlight w:val="none"/>
          <w14:textFill>
            <w14:solidFill>
              <w14:schemeClr w14:val="tx1"/>
            </w14:solidFill>
          </w14:textFill>
        </w:rPr>
        <w:t xml:space="preserve">三十</w:t>
      </w:r>
      <w:r>
        <w:rPr>
          <w:rFonts w:hint="eastAsia" w:ascii="宋体" w:hAnsi="宋体" w:eastAsia="宋体" w:cs="宋体"/>
          <w:color w:val="000000" w:themeColor="text1"/>
          <w:sz w:val="24"/>
          <w:szCs w:val="24"/>
          <w:highlight w:val="none"/>
          <w14:textFill>
            <w14:solidFill>
              <w14:schemeClr w14:val="tx1"/>
            </w14:solidFill>
          </w14:textFill>
        </w:rPr>
        <w:t xml:space="preserve">日内，按照采购文件确定的事项签订政府采购合同。</w:t>
      </w:r>
      <w:r/>
    </w:p>
    <w:p>
      <w:pPr>
        <w:pStyle w:val="721"/>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采购人应当自政府采购合同签订之日起</w:t>
      </w: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个工作日内，将政府采购合同在省级以上人民政府财政部门指定的媒体上公告，但政府采购合同中涉及国家秘密、商业秘密的内容除外。</w:t>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合同通用条款</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第一条    定义</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第二条    合同范围</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第三条    价格</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第四条    支付</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第五条    交货</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第六条    包装和标记</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第七条    技术资料</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第八条    安装</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第九条    验收</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第十条    售后服务和技术培训</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第十一条  索赔</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第十二条  不可抗力</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第十三条  合同的终止</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第十四条  争议的解决</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第十五条  适用法律</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第十六条  权利保证</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第十七条  保密</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第十八条  合同生效及其他</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合同通用条款</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第一条  定义</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除本合同上下文中另有规定外，下列各词语定义如下：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1.1“买方”见《合同专用条款》。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1.2“卖方”见《合同专用条款》。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1.3“工作现场”见《合同专用条款》。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1.4“合同标的”见合同附件4。</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1.5“技术资料”是指与合同标的的安装、试运行、验收、操作以及维修有关的技术指标、规格、图纸和文件。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1.6“技术培训”是指在合同标的的安装、试运行、验收、操作、维修以及其他方面卖方给予买方的培训。</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1.7“安装”是指有关合同标的、备件和材料的安装工作。</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1.8“试运行”是指为验明合同标的的技术性能，在安装完毕后对合同标的进行的测试。</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1.10“合同货币”见《合同专用条款》。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1.11“合同价格”见合同附件4。</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1.12“合同生效日”见《合同协议书》（合同附件1）第</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1.13“日”是指日历天数。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1.14“月”是指日历月数。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1.15“采购需求”见合同附件6。</w:t>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第二条 合同范围</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2.1买方同意从卖方购买、卖方同意向买方出售和提供的合同标的以及相关售后服务、技术培训和技术资料。</w:t>
      </w:r>
      <w:r/>
    </w:p>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第三条 价格</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 合同总价见《合同专用条款》。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 合同总价是固定价格。</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第四条 支付（采购资金的支付方式、时间、条件）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4.2卖方有义务根据合同的规定向买方支付违约金和/或赔偿金时，买方有权从任何一笔应付款或卖方的履约保证金中予以扣除。</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第五条 交货（货物、服务提供的时间、地点、方式）</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5.1交货期限、批次和交货条件见《合同专用条款》。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5.2交货地点见《合同专用条款》。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5.4卖方应按下列规定交付合同标的：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5.4.1卖方负责将合同标的送至《合同专用条款》规定的交货地点。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5.4.2买方出具的收据日期是合同标的的实际交货日期。</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5.5如果卖方未能按照合同规定的交货期限交货，卖方应按《合同专用条款》的规定支付违约金或提供其他救济。</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第六条 包装与标记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6.1除非合同中另有规定，合同标的应保持产品制造企业原包装完好。</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6.2在合同标的的每件包装中都应附有下列单据：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装箱明细单；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质量合格证；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第七条 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 技术资料交付的期限和方式见《合同专用条款》。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第八条 安装</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 合同标的的安装期限见《合同专用条款》。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第九条 验收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9.1合同标的的试运行、验收见《合同专用条款》。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9.2如果合同附件2 所规定的所有技术性能在验收中都已经达到，双方应在验收合格后5 日内签署验收书。</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9.3验收标准（验收要求、验收标准和程序）：见合同附件5。</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第十条 售后服务和技术培训</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10.1售后服务和技术培训见合同附件3。</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第十一条 索赔</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卖方替换不符合合同规定的合同标的。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按质量低劣的程度、买方受损害的程度及损失的数额对合同标的进行降价。</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拒收合同标的。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D. 赔偿由卖方违约引起的其他损失。</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第十二条 不可抗力</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日内将有关部门或机构出具的证明文件提交给另一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第十三条 合同的终止</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卖方在合同规定的交货期限后未能按《合同专用条款》中规定的最终期限交付合同标的和/或技术资料；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合同标的未能达到合同附件2 规定的技术性能；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13.3如果买方认定卖方在投标或执行合同中有腐败或欺诈行为,买方有权在任何时候发出书面通知终止合同。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13.4 在买方全部或部分终止合同的情况下，卖方应按《合同专用条款》的规定对买方给予补偿。</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第十四条 争议的解决</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第十五条 适用法律</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15.1 本合同的执行和争议的解决适用中华人民共和国的法律并按中华人民共和国的法律进行解释。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第十六条  权利保证</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第十七条  保密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17.2上述秘密，卖方只能用于本合同，而且只能由卖方相应的人员使用；没有必要接触的卖方人员，不得接触。</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17.3卖方应当采取适当有效的方式保护所获取的上述秘密。</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第十八条 合同生效及其他</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 本合同在合同协议书（合同附件1）规定的条件全部满足后生效。</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18.3 合同双方各自承担与本合同有关的应负税费。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18.5对本合同的任何补充、增添或修改以书面方式进行。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18.6没有另一方的事先书面同意，合同任何一方不得将合同项下的任何权利和义务转让给第三方。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18.8合同条款中的标题和边注仅供参考使用，不应视为合同的一部分，也不影响本文的解释。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firstLine="6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ind w:firstLine="600"/>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合同专用条款</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jc w:val="cente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第一条 定义</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 “买方”为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 “卖方”为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 “工作现场”为</w:t>
      </w:r>
      <w:r>
        <w:rPr>
          <w:rFonts w:hint="eastAsia" w:ascii="宋体" w:hAnsi="宋体" w:eastAsia="宋体" w:cs="宋体"/>
          <w:color w:val="000000" w:themeColor="text1"/>
          <w:sz w:val="24"/>
          <w:highlight w:val="none"/>
          <w:u w:val="single"/>
          <w14:textFill>
            <w14:solidFill>
              <w14:schemeClr w14:val="tx1"/>
            </w14:solidFill>
          </w14:textFill>
        </w:rPr>
        <w:t xml:space="preserve">买方指定地点</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1.10 “合同货币”即</w:t>
      </w:r>
      <w:r>
        <w:rPr>
          <w:rFonts w:hint="eastAsia" w:ascii="宋体" w:hAnsi="宋体" w:eastAsia="宋体" w:cs="宋体"/>
          <w:color w:val="000000" w:themeColor="text1"/>
          <w:sz w:val="24"/>
          <w:highlight w:val="none"/>
          <w:u w:val="single"/>
          <w14:textFill>
            <w14:solidFill>
              <w14:schemeClr w14:val="tx1"/>
            </w14:solidFill>
          </w14:textFill>
        </w:rPr>
        <w:t xml:space="preserve">人民币</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第三条 价格</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3.1合同总价为￥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第四条 支付（采购资金的支付方式、时间、条件）</w:t>
      </w:r>
      <w:r/>
    </w:p>
    <w:p>
      <w:pPr>
        <w:ind w:firstLine="482"/>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合同价款的百分之</w:t>
      </w:r>
      <w:r>
        <w:rPr>
          <w:rFonts w:hint="eastAsia" w:ascii="宋体" w:hAnsi="宋体" w:cs="宋体"/>
          <w:color w:val="000000" w:themeColor="text1"/>
          <w:sz w:val="24"/>
          <w:highlight w:val="none"/>
          <w:lang w:eastAsia="zh-CN"/>
          <w14:textFill>
            <w14:solidFill>
              <w14:schemeClr w14:val="tx1"/>
            </w14:solidFill>
          </w14:textFill>
        </w:rPr>
        <w:t xml:space="preserve">三十</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0%)，即￥（    ），大写：人民币（   ）元整，在双方签订合同后，合同标的</w:t>
      </w:r>
      <w:r>
        <w:rPr>
          <w:rFonts w:hint="eastAsia" w:ascii="宋体" w:hAnsi="宋体" w:cs="宋体"/>
          <w:color w:val="000000" w:themeColor="text1"/>
          <w:sz w:val="24"/>
          <w:highlight w:val="none"/>
          <w:lang w:eastAsia="zh-CN"/>
          <w14:textFill>
            <w14:solidFill>
              <w14:schemeClr w14:val="tx1"/>
            </w14:solidFill>
          </w14:textFill>
        </w:rPr>
        <w:t xml:space="preserve">按期</w:t>
      </w:r>
      <w:r>
        <w:rPr>
          <w:rFonts w:hint="eastAsia" w:ascii="宋体" w:hAnsi="宋体" w:eastAsia="宋体" w:cs="宋体"/>
          <w:color w:val="000000" w:themeColor="text1"/>
          <w:sz w:val="24"/>
          <w:highlight w:val="none"/>
          <w14:textFill>
            <w14:solidFill>
              <w14:schemeClr w14:val="tx1"/>
            </w14:solidFill>
          </w14:textFill>
        </w:rPr>
        <w:t xml:space="preserve">全部交付并调试完毕并验收</w:t>
      </w:r>
      <w:r>
        <w:rPr>
          <w:rFonts w:hint="eastAsia" w:ascii="宋体" w:hAnsi="宋体" w:cs="宋体"/>
          <w:color w:val="000000" w:themeColor="text1"/>
          <w:sz w:val="24"/>
          <w:highlight w:val="none"/>
          <w:lang w:eastAsia="zh-CN"/>
          <w14:textFill>
            <w14:solidFill>
              <w14:schemeClr w14:val="tx1"/>
            </w14:solidFill>
          </w14:textFill>
        </w:rPr>
        <w:t xml:space="preserve">合格</w:t>
      </w:r>
      <w:r>
        <w:rPr>
          <w:rFonts w:hint="eastAsia" w:ascii="宋体" w:hAnsi="宋体" w:eastAsia="宋体" w:cs="宋体"/>
          <w:color w:val="000000" w:themeColor="text1"/>
          <w:sz w:val="24"/>
          <w:highlight w:val="none"/>
          <w14:textFill>
            <w14:solidFill>
              <w14:schemeClr w14:val="tx1"/>
            </w14:solidFill>
          </w14:textFill>
        </w:rPr>
        <w:t xml:space="preserve">后，由甲方办理政府采购资金结算手续完成后支付给乙方。</w:t>
      </w:r>
      <w:r/>
    </w:p>
    <w:p>
      <w:pPr>
        <w:ind w:firstLine="482"/>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 剩余</w:t>
      </w:r>
      <w:r>
        <w:rPr>
          <w:rFonts w:hint="eastAsia" w:ascii="宋体" w:hAnsi="宋体" w:cs="宋体"/>
          <w:color w:val="000000" w:themeColor="text1"/>
          <w:sz w:val="24"/>
          <w:highlight w:val="none"/>
          <w:lang w:eastAsia="zh-CN"/>
          <w14:textFill>
            <w14:solidFill>
              <w14:schemeClr w14:val="tx1"/>
            </w14:solidFill>
          </w14:textFill>
        </w:rPr>
        <w:t xml:space="preserve">货</w:t>
      </w:r>
      <w:r>
        <w:rPr>
          <w:rFonts w:hint="eastAsia" w:ascii="宋体" w:hAnsi="宋体" w:eastAsia="宋体" w:cs="宋体"/>
          <w:color w:val="000000" w:themeColor="text1"/>
          <w:sz w:val="24"/>
          <w:highlight w:val="none"/>
          <w14:textFill>
            <w14:solidFill>
              <w14:schemeClr w14:val="tx1"/>
            </w14:solidFill>
          </w14:textFill>
        </w:rPr>
        <w:t xml:space="preserve">款按照比例分</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个季度支付，每一季度支付车款一次</w:t>
      </w:r>
      <w:r>
        <w:rPr>
          <w:rFonts w:hint="eastAsia" w:ascii="宋体" w:hAnsi="宋体" w:cs="宋体"/>
          <w:color w:val="000000" w:themeColor="text1"/>
          <w:sz w:val="24"/>
          <w:highlight w:val="none"/>
          <w:lang w:eastAsia="zh-CN"/>
          <w14:textFill>
            <w14:solidFill>
              <w14:schemeClr w14:val="tx1"/>
            </w14:solidFill>
          </w14:textFill>
        </w:rPr>
        <w:t xml:space="preserve">。由</w:t>
      </w:r>
      <w:r>
        <w:rPr>
          <w:rFonts w:hint="eastAsia" w:ascii="宋体" w:hAnsi="宋体" w:eastAsia="宋体" w:cs="宋体"/>
          <w:color w:val="000000" w:themeColor="text1"/>
          <w:sz w:val="24"/>
          <w:highlight w:val="none"/>
          <w14:textFill>
            <w14:solidFill>
              <w14:schemeClr w14:val="tx1"/>
            </w14:solidFill>
          </w14:textFill>
        </w:rPr>
        <w:t xml:space="preserve">甲方办理政府采购资金结算手续</w:t>
      </w:r>
      <w:r>
        <w:rPr>
          <w:rFonts w:hint="eastAsia" w:ascii="宋体" w:hAnsi="宋体" w:cs="宋体"/>
          <w:color w:val="000000" w:themeColor="text1"/>
          <w:sz w:val="24"/>
          <w:highlight w:val="none"/>
          <w:lang w:eastAsia="zh-CN"/>
          <w14:textFill>
            <w14:solidFill>
              <w14:schemeClr w14:val="tx1"/>
            </w14:solidFill>
          </w14:textFill>
        </w:rPr>
        <w:t xml:space="preserve">完成后</w:t>
      </w:r>
      <w:r>
        <w:rPr>
          <w:rFonts w:hint="eastAsia" w:ascii="宋体" w:hAnsi="宋体" w:eastAsia="宋体" w:cs="宋体"/>
          <w:color w:val="000000" w:themeColor="text1"/>
          <w:sz w:val="24"/>
          <w:highlight w:val="none"/>
          <w14:textFill>
            <w14:solidFill>
              <w14:schemeClr w14:val="tx1"/>
            </w14:solidFill>
          </w14:textFill>
        </w:rPr>
        <w:t xml:space="preserve">支付给乙方。</w:t>
      </w:r>
      <w:r/>
    </w:p>
    <w:p>
      <w:pPr>
        <w:ind w:firstLine="482"/>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买方付款前卖方需提交的支付文件包括：</w:t>
      </w:r>
      <w:r/>
    </w:p>
    <w:p>
      <w:pPr>
        <w:ind w:firstLine="482"/>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卖方出具的全额正式发票。</w:t>
      </w:r>
      <w:r/>
    </w:p>
    <w:p>
      <w:pPr>
        <w:ind w:firstLine="482"/>
        <w:keepLines w:val="0"/>
        <w:keepNext w:val="0"/>
        <w:pageBreakBefore w:val="0"/>
        <w:spacing w:line="312"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买方签署验收合格报告</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 履约保证金退还的方式、时间、条件和不予退还的情形:</w:t>
      </w:r>
      <w:r/>
    </w:p>
    <w:p>
      <w:pPr>
        <w:ind w:firstLine="425"/>
        <w:keepLines w:val="0"/>
        <w:keepNext w:val="0"/>
        <w:pageBreakBefore w:val="0"/>
        <w:spacing w:line="312" w:lineRule="auto"/>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退还方式:由买方将履约保证金无息退还至卖方</w:t>
      </w:r>
      <w:r>
        <w:rPr>
          <w:rFonts w:hint="eastAsia" w:ascii="宋体" w:hAnsi="宋体" w:eastAsia="宋体" w:cs="宋体"/>
          <w:color w:val="000000" w:themeColor="text1"/>
          <w:sz w:val="24"/>
          <w:highlight w:val="none"/>
          <w:lang w:val="zh-CN"/>
          <w14:textFill>
            <w14:solidFill>
              <w14:schemeClr w14:val="tx1"/>
            </w14:solidFill>
          </w14:textFill>
        </w:rPr>
        <w:t xml:space="preserve">账户。</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退还时间:本项目履行完毕后十日内退还。</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退还条件：本项目合同义务全部履行完毕。</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不予退还的情形:</w:t>
      </w:r>
      <w:r>
        <w:rPr>
          <w:rFonts w:hint="eastAsia" w:ascii="宋体" w:hAnsi="宋体" w:eastAsia="宋体" w:cs="宋体"/>
          <w:color w:val="000000" w:themeColor="text1"/>
          <w:sz w:val="24"/>
          <w:highlight w:val="none"/>
          <w:lang w:val="zh-CN"/>
          <w14:textFill>
            <w14:solidFill>
              <w14:schemeClr w14:val="tx1"/>
            </w14:solidFill>
          </w14:textFill>
        </w:rPr>
        <w:t xml:space="preserve">卖方拒绝履行合同义务。</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4.3  合同约定的卖方账户：</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开户银行：</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银行账号</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4.4  买方逾期支付资金的，每逾期（10）天，买方向卖方支付合同总价的（0.1）%的违约金，但违约金的总数不超过合同总金额的（1）%。</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逾期退还履约保证金的违约责任: 买方逾期退还履约保证金的，每逾期（10）天，买方向卖方支付履约保证金的（0.05）%的违约金，但违约金的总数不超过履约保证金的（5）%。</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第五条 交货（货物、服务提供的时间、地点、方式）</w:t>
      </w:r>
      <w:r/>
    </w:p>
    <w:p>
      <w:pPr>
        <w:ind w:firstLine="540"/>
        <w:keepLines w:val="0"/>
        <w:keepNext w:val="0"/>
        <w:pageBreakBefore w:val="0"/>
        <w:spacing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5.1卖方应于合同生效日后，</w:t>
      </w:r>
      <w:r>
        <w:rPr>
          <w:rFonts w:hint="eastAsia" w:ascii="宋体" w:hAnsi="宋体" w:cs="宋体"/>
          <w:b/>
          <w:bCs/>
          <w:color w:val="auto"/>
          <w:sz w:val="24"/>
          <w:highlight w:val="none"/>
          <w:u w:val="single"/>
          <w:lang w:val="en-US" w:eastAsia="zh-CN"/>
        </w:rPr>
        <w:t xml:space="preserve">30</w:t>
      </w:r>
      <w:r>
        <w:rPr>
          <w:rFonts w:hint="eastAsia" w:ascii="宋体" w:hAnsi="宋体" w:eastAsia="宋体" w:cs="宋体"/>
          <w:b/>
          <w:bCs/>
          <w:color w:val="auto"/>
          <w:sz w:val="24"/>
          <w:highlight w:val="none"/>
          <w:u w:val="single"/>
        </w:rPr>
        <w:t xml:space="preserve">日</w:t>
      </w:r>
      <w:r>
        <w:rPr>
          <w:rFonts w:hint="eastAsia" w:ascii="宋体" w:hAnsi="宋体" w:eastAsia="宋体" w:cs="宋体"/>
          <w:color w:val="auto"/>
          <w:sz w:val="24"/>
          <w:highlight w:val="none"/>
        </w:rPr>
        <w:t xml:space="preserve">内将合同标的全部交付并安装完毕。</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 交货地点为</w:t>
      </w:r>
      <w:r>
        <w:rPr>
          <w:rFonts w:hint="eastAsia" w:ascii="宋体" w:hAnsi="宋体" w:eastAsia="宋体" w:cs="宋体"/>
          <w:color w:val="000000" w:themeColor="text1"/>
          <w:sz w:val="24"/>
          <w:highlight w:val="none"/>
          <w:u w:val="single"/>
          <w14:textFill>
            <w14:solidFill>
              <w14:schemeClr w14:val="tx1"/>
            </w14:solidFill>
          </w14:textFill>
        </w:rPr>
        <w:t xml:space="preserve">买方指定地点</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5.3卖方应在不迟于每批合同标的备妥待运前</w:t>
      </w:r>
      <w:r>
        <w:rPr>
          <w:rFonts w:hint="eastAsia" w:ascii="宋体" w:hAnsi="宋体" w:eastAsia="宋体" w:cs="宋体"/>
          <w:color w:val="000000" w:themeColor="text1"/>
          <w:sz w:val="24"/>
          <w:highlight w:val="none"/>
          <w:u w:val="single"/>
          <w14:textFill>
            <w14:solidFill>
              <w14:schemeClr w14:val="tx1"/>
            </w14:solidFill>
          </w14:textFill>
        </w:rPr>
        <w:t xml:space="preserve"> 5 </w:t>
      </w:r>
      <w:r>
        <w:rPr>
          <w:rFonts w:hint="eastAsia" w:ascii="宋体" w:hAnsi="宋体" w:eastAsia="宋体" w:cs="宋体"/>
          <w:color w:val="000000" w:themeColor="text1"/>
          <w:sz w:val="24"/>
          <w:highlight w:val="none"/>
          <w14:textFill>
            <w14:solidFill>
              <w14:schemeClr w14:val="tx1"/>
            </w14:solidFill>
          </w14:textFill>
        </w:rPr>
        <w:t xml:space="preserve">日通知买方。</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5.5如果卖方未能按照合同规定的交货期限交货，卖方应按每天迟交合同标的金额的百分之</w:t>
      </w:r>
      <w:r>
        <w:rPr>
          <w:rFonts w:hint="eastAsia" w:ascii="宋体" w:hAnsi="宋体" w:eastAsia="宋体" w:cs="宋体"/>
          <w:color w:val="000000" w:themeColor="text1"/>
          <w:sz w:val="24"/>
          <w:highlight w:val="none"/>
          <w:u w:val="single"/>
          <w14:textFill>
            <w14:solidFill>
              <w14:schemeClr w14:val="tx1"/>
            </w14:solidFill>
          </w14:textFill>
        </w:rPr>
        <w:t xml:space="preserve">一</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%)的比率支付违约金。违约金的总金额不超过合同总价的百分之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十</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 ，违约金的支付不能免除卖方继续交付相关合同标的的义务。</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如果卖方在合同规定的交货期限后</w:t>
      </w:r>
      <w:r>
        <w:rPr>
          <w:rFonts w:hint="eastAsia" w:ascii="宋体" w:hAnsi="宋体" w:eastAsia="宋体" w:cs="宋体"/>
          <w:color w:val="000000" w:themeColor="text1"/>
          <w:sz w:val="24"/>
          <w:highlight w:val="none"/>
          <w:u w:val="single"/>
          <w14:textFill>
            <w14:solidFill>
              <w14:schemeClr w14:val="tx1"/>
            </w14:solidFill>
          </w14:textFill>
        </w:rPr>
        <w:t xml:space="preserve">十</w:t>
      </w:r>
      <w:r>
        <w:rPr>
          <w:rFonts w:hint="eastAsia" w:ascii="宋体" w:hAnsi="宋体" w:eastAsia="宋体" w:cs="宋体"/>
          <w:color w:val="000000" w:themeColor="text1"/>
          <w:sz w:val="24"/>
          <w:highlight w:val="none"/>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第六条 包装与标记</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6.4 商品（合同标的）包装具体要求：见《关于印发《商品包装政府采购需求标准（试行）》、《快递包装政府采购需求标准（试行）》的通知》（财办库〔2020〕123号）中《商品包装政府采购需求标准（试行）》。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6.5快递包装具体要求：见《关于印发《商品包装政府采购需求标准（试行）》、《快递包装政府采购需求标准（试行）》的通知》（财办库〔2020〕123号）中《快递包装政府采购需求标准（试行）》。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第七条 技术资料</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 技术资料随合同标的同时交付给买方。</w:t>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第八条 安装</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8.1卖方应于合同生效日后，</w:t>
      </w:r>
      <w:r>
        <w:rPr>
          <w:rFonts w:hint="eastAsia" w:ascii="宋体" w:hAnsi="宋体" w:cs="宋体"/>
          <w:b/>
          <w:bCs/>
          <w:color w:val="auto"/>
          <w:sz w:val="24"/>
          <w:highlight w:val="none"/>
          <w:u w:val="single"/>
          <w:lang w:val="en-US" w:eastAsia="zh-CN"/>
        </w:rPr>
        <w:t xml:space="preserve">30</w:t>
      </w:r>
      <w:r>
        <w:rPr>
          <w:rFonts w:hint="eastAsia" w:ascii="宋体" w:hAnsi="宋体" w:eastAsia="宋体" w:cs="宋体"/>
          <w:b/>
          <w:bCs/>
          <w:color w:val="auto"/>
          <w:sz w:val="24"/>
          <w:highlight w:val="none"/>
          <w:u w:val="single"/>
        </w:rPr>
        <w:t xml:space="preserve">日</w:t>
      </w:r>
      <w:r>
        <w:rPr>
          <w:rFonts w:hint="eastAsia" w:ascii="宋体" w:hAnsi="宋体" w:eastAsia="宋体" w:cs="宋体"/>
          <w:color w:val="auto"/>
          <w:sz w:val="24"/>
          <w:highlight w:val="none"/>
        </w:rPr>
        <w:t xml:space="preserve">内将合同标的全部交付并安装完毕</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8.2项目实施详见合同附件7。</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第九条 验收</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000000" w:themeColor="text1"/>
          <w:sz w:val="24"/>
          <w:highlight w:val="none"/>
          <w:u w:val="single"/>
          <w14:textFill>
            <w14:solidFill>
              <w14:schemeClr w14:val="tx1"/>
            </w14:solidFill>
          </w14:textFill>
        </w:rPr>
        <w:t xml:space="preserve"> 3 </w:t>
      </w:r>
      <w:r>
        <w:rPr>
          <w:rFonts w:hint="eastAsia" w:ascii="宋体" w:hAnsi="宋体" w:eastAsia="宋体" w:cs="宋体"/>
          <w:color w:val="000000" w:themeColor="text1"/>
          <w:sz w:val="24"/>
          <w:highlight w:val="none"/>
          <w14:textFill>
            <w14:solidFill>
              <w14:schemeClr w14:val="tx1"/>
            </w14:solidFill>
          </w14:textFill>
        </w:rPr>
        <w:t xml:space="preserve">日进行试运行、验收。如果试运行和/或验收因卖方原因发生迟延和/ 或在其它情况下发生额外费用，买方有权就因迟延发生的损害和损失和/或任何额外费用请求赔偿。</w:t>
      </w:r>
      <w:r/>
    </w:p>
    <w:p>
      <w:pPr>
        <w:ind w:firstLine="60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 验收标准：</w:t>
      </w:r>
      <w:r/>
    </w:p>
    <w:p>
      <w:pPr>
        <w:pStyle w:val="720"/>
        <w:ind w:firstLine="480"/>
        <w:keepLines w:val="0"/>
        <w:keepNext w:val="0"/>
        <w:pageBreakBefore w:val="0"/>
        <w:spacing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9.3.2</w:t>
      </w:r>
      <w:r>
        <w:rPr>
          <w:rFonts w:hint="eastAsia" w:ascii="宋体" w:hAnsi="宋体" w:eastAsia="宋体" w:cs="宋体"/>
          <w:color w:val="000000" w:themeColor="text1"/>
          <w:sz w:val="24"/>
          <w:highlight w:val="none"/>
          <w14:textFill>
            <w14:solidFill>
              <w14:schemeClr w14:val="tx1"/>
            </w14:solidFill>
          </w14:textFill>
        </w:rPr>
        <w:t xml:space="preserve">合同标的涉及挥发性有机化合物，属于推荐性标准的，卖方使用的低挥发性原辅材料验收标准参考相关国家标准、行业标准或团体标准验收。</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第十一条 索赔</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11.1买方有权选择本条款规定的任意或全部救济方式。</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第十二条 不可抗力</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 如果不可抗力事件的影响持续超过20日，合同任何一方均有权发出书面通知终止合同。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第十三条 合同的终止</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13.1如果卖方有下述违约行为，买方可以全部或部分地终止合同：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卖方在合同规定的交货期限后</w:t>
      </w:r>
      <w:r>
        <w:rPr>
          <w:rFonts w:hint="eastAsia" w:ascii="宋体" w:hAnsi="宋体" w:eastAsia="宋体" w:cs="宋体"/>
          <w:color w:val="000000" w:themeColor="text1"/>
          <w:sz w:val="24"/>
          <w:highlight w:val="none"/>
          <w:u w:val="single"/>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日内仍未能交付合同标的和/ 或技术资料；或者卖方未能履行合同项下任何其它义务，并且在收到买方违约通知后</w:t>
      </w:r>
      <w:r>
        <w:rPr>
          <w:rFonts w:hint="eastAsia" w:ascii="宋体" w:hAnsi="宋体" w:eastAsia="宋体" w:cs="宋体"/>
          <w:color w:val="000000" w:themeColor="text1"/>
          <w:sz w:val="24"/>
          <w:highlight w:val="none"/>
          <w:u w:val="single"/>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日内仍未能对其违约行为作出补救。</w:t>
      </w:r>
      <w:r/>
    </w:p>
    <w:p>
      <w:pPr>
        <w:ind w:firstLine="540"/>
        <w:keepLines w:val="0"/>
        <w:keepNext w:val="0"/>
        <w:pageBreakBefore w:val="0"/>
        <w:spacing w:line="312" w:lineRule="auto"/>
        <w:rPr>
          <w:rFonts w:hint="eastAsia" w:ascii="宋体" w:hAnsi="宋体" w:eastAsia="宋体" w:cs="宋体"/>
          <w:i/>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第十四条 争议的解决</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14.1如果不能协商一致，合同任何一方有权向买方所在地人民法院提起诉讼。</w:t>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第十八条 合同生效及其他</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部分涉及国家秘密，该涉及国家秘密部分不公告；买方依据《</w:t>
      </w:r>
      <w:r>
        <w:rPr>
          <w:rFonts w:hint="eastAsia" w:ascii="宋体" w:hAnsi="宋体" w:cs="宋体"/>
          <w:color w:val="000000" w:themeColor="text1"/>
          <w:sz w:val="24"/>
          <w:highlight w:val="none"/>
          <w:lang w:eastAsia="zh-CN"/>
          <w14:textFill>
            <w14:solidFill>
              <w14:schemeClr w14:val="tx1"/>
            </w14:solidFill>
          </w14:textFill>
        </w:rPr>
        <w:t xml:space="preserve">中华人民共和国反不正当竞争法</w:t>
      </w:r>
      <w:r>
        <w:rPr>
          <w:rFonts w:hint="eastAsia" w:ascii="宋体" w:hAnsi="宋体" w:eastAsia="宋体" w:cs="宋体"/>
          <w:color w:val="000000" w:themeColor="text1"/>
          <w:sz w:val="24"/>
          <w:highlight w:val="none"/>
          <w14:textFill>
            <w14:solidFill>
              <w14:schemeClr w14:val="tx1"/>
            </w14:solidFill>
          </w14:textFill>
        </w:rPr>
        <w:t xml:space="preserve">》等法律制度的规定与卖方约定本合同</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部分涉及商业秘密，该涉及商业秘密部分不公告。</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18.11 合同双方的通讯地址：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买方:</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邮编: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邮编: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18.12因买方原因导致变更、中止或者终止政府采购合同的，买方对卖方受到的实际损失予以赔偿或者补偿。</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color w:val="000000" w:themeColor="text1"/>
          <w:sz w:val="30"/>
          <w:szCs w:val="30"/>
          <w:highlight w:val="none"/>
          <w14:textFill>
            <w14:solidFill>
              <w14:schemeClr w14:val="tx1"/>
            </w14:solidFill>
          </w14:textFill>
        </w:rPr>
        <w:t xml:space="preserve">合同附件</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合同附件1：合同协议书</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合同附件2：技术规格和技术性能</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(要求见招标文件第六章《采购需求》；合同见卖方投标文件中《所投产品的技术规格（技术性能）》。)</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合同附件3：售后服务和技术培训</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(要求见招标文件第六章《采购需求》；合同见卖方投标文件中《售后服务方案》。)</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合同附件4：供货范围和价格清单</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(要求见招标文件第七章《投标文件相关格式》中《开标一览表》和《分项价格表》；合同见卖方投标文件中《开标一览表》和《分项价格表》。)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合同附件5：验收标准（验收要求、验收标准和程序）</w:t>
      </w:r>
      <w:r/>
    </w:p>
    <w:p>
      <w:pP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合同附件6：采购需求</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合同附件7：项目实施方案</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(要求见招标文件第六章《采购需求》；合同见卖方投标文件中《项目实施方案》。)</w:t>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color w:val="000000" w:themeColor="text1"/>
          <w:sz w:val="24"/>
          <w:highlight w:val="none"/>
          <w14:textFill>
            <w14:solidFill>
              <w14:schemeClr w14:val="tx1"/>
            </w14:solidFill>
          </w14:textFill>
        </w:rPr>
        <w:t xml:space="preserve">合同附件1：</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合同协议书</w:t>
      </w:r>
      <w:r/>
    </w:p>
    <w:p>
      <w:pPr>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合同编号:____________ </w:t>
      </w:r>
      <w:r/>
    </w:p>
    <w:p>
      <w:pPr>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签字日期:____________ </w:t>
      </w:r>
      <w:r/>
    </w:p>
    <w:p>
      <w:pPr>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签字地点:____________ </w:t>
      </w:r>
      <w:r/>
    </w:p>
    <w:p>
      <w:pPr>
        <w:ind w:firstLine="41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ind w:firstLine="359"/>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 （买方名称）（以下简称“买方”）已接受</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（卖方名称）（以下简称“卖方”）对</w:t>
      </w:r>
      <w:r>
        <w:rPr>
          <w:rFonts w:hint="eastAsia" w:ascii="宋体" w:hAnsi="宋体" w:eastAsia="宋体" w:cs="宋体"/>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（项目名称）（项目编号：</w:t>
      </w:r>
      <w:r>
        <w:rPr>
          <w:rFonts w:hint="eastAsia" w:ascii="宋体" w:hAnsi="宋体" w:eastAsia="宋体" w:cs="宋体"/>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的投标。买方和卖方共同达成如下协议。</w:t>
      </w:r>
      <w:r/>
    </w:p>
    <w:p>
      <w:pPr>
        <w:ind w:firstLine="36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1.本合同协议书中的词语和术语的含义与合同条款中定义的相同。</w:t>
      </w:r>
      <w:r/>
    </w:p>
    <w:p>
      <w:pPr>
        <w:ind w:firstLine="36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2.以下文件应构成买方和卖方之间达成的合同，若各文件之间存在含糊不清或互相冲突之处，优先顺序应按下列文件顺序解释。</w:t>
      </w:r>
      <w:r/>
    </w:p>
    <w:p>
      <w:pPr>
        <w:ind w:left="42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 合同协议书</w:t>
      </w:r>
      <w:r/>
    </w:p>
    <w:p>
      <w:pPr>
        <w:ind w:left="42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 中标通知书</w:t>
      </w:r>
      <w:r/>
    </w:p>
    <w:p>
      <w:pPr>
        <w:ind w:left="42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 合同专用条款</w:t>
      </w:r>
      <w:r/>
    </w:p>
    <w:p>
      <w:pPr>
        <w:ind w:left="42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(4) 合同通用条款</w:t>
      </w:r>
      <w:r/>
    </w:p>
    <w:p>
      <w:pPr>
        <w:ind w:left="42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(5) 除合同附件1外的合同附件</w:t>
      </w:r>
      <w:r/>
    </w:p>
    <w:p>
      <w:pPr>
        <w:ind w:left="42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(6) 其他文件</w:t>
      </w:r>
      <w:r/>
    </w:p>
    <w:p>
      <w:pPr>
        <w:ind w:firstLine="54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3.考虑到买方将按照本合同向卖方支付合同价款，卖方在此保证全部按照合同的规定向买方提供合同标的、技术资料、售后服务及技术培训。</w:t>
      </w:r>
      <w:r/>
    </w:p>
    <w:p>
      <w:pPr>
        <w:ind w:firstLine="54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4.考虑到卖方将按合同规定提供合同标的、技术资料、售后服务及技术培训，买方在此保证按照合同规定的时间和方式向卖方支付合同价款。</w:t>
      </w:r>
      <w:r/>
    </w:p>
    <w:p>
      <w:pPr>
        <w:ind w:firstLine="48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5.本合同在下列条件全部满足后生效，生效日期以下列条件全部满足的最晚日期为准： </w:t>
      </w:r>
      <w:r/>
    </w:p>
    <w:p>
      <w:pPr>
        <w:ind w:left="42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 双方加盖公章或合同专用章；</w:t>
      </w:r>
      <w:r/>
    </w:p>
    <w:p>
      <w:pPr>
        <w:ind w:firstLine="54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6.合同一式</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份，具有同等法律效力，买方</w:t>
      </w:r>
      <w:r>
        <w:rPr>
          <w:rFonts w:hint="eastAsia" w:ascii="宋体" w:hAnsi="宋体" w:eastAsia="宋体" w:cs="宋体"/>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份，卖方</w:t>
      </w:r>
      <w:r>
        <w:rPr>
          <w:rFonts w:hint="eastAsia" w:ascii="宋体" w:hAnsi="宋体" w:eastAsia="宋体" w:cs="宋体"/>
          <w:color w:val="000000" w:themeColor="text1"/>
          <w:sz w:val="22"/>
          <w:szCs w:val="22"/>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份。</w:t>
      </w:r>
      <w:r/>
    </w:p>
    <w:p>
      <w:pPr>
        <w:ind w:firstLine="48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7.本合同其他未尽事宜及与采购文件有矛盾之处，以采购文件[项目编号：</w:t>
      </w:r>
      <w:r>
        <w:rPr>
          <w:rFonts w:hint="eastAsia" w:ascii="宋体" w:hAnsi="宋体" w:cs="宋体"/>
          <w:color w:val="000000" w:themeColor="text1"/>
          <w:sz w:val="22"/>
          <w:szCs w:val="22"/>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2"/>
          <w:szCs w:val="22"/>
          <w:highlight w:val="none"/>
          <w14:textFill>
            <w14:solidFill>
              <w14:schemeClr w14:val="tx1"/>
            </w14:solidFill>
          </w14:textFill>
        </w:rPr>
        <w:t xml:space="preserve">]为准。</w:t>
      </w:r>
      <w:r/>
    </w:p>
    <w:p>
      <w:pPr>
        <w:ind w:firstLine="360"/>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买方和卖方由其正式授权代表于上述所写日期和地点签订本合同。</w:t>
      </w:r>
      <w:r/>
    </w:p>
    <w:p>
      <w:pP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keepLines w:val="0"/>
        <w:keepNext w:val="0"/>
        <w:pageBreakBefore w:val="0"/>
        <w:spacing w:line="312"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买方（签章）：____________________________________  </w:t>
      </w:r>
      <w:r/>
    </w:p>
    <w:p>
      <w:pPr>
        <w:keepLines w:val="0"/>
        <w:keepNext w:val="0"/>
        <w:pageBreakBefore w:val="0"/>
        <w:spacing w:line="312"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法定代表人或授权代表(签名)： ____________________ </w:t>
      </w:r>
      <w:r/>
    </w:p>
    <w:p>
      <w:pPr>
        <w:ind w:firstLine="3360"/>
        <w:keepLines w:val="0"/>
        <w:keepNext w:val="0"/>
        <w:pageBreakBefore w:val="0"/>
        <w:spacing w:line="312"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keepLines w:val="0"/>
        <w:keepNext w:val="0"/>
        <w:pageBreakBefore w:val="0"/>
        <w:spacing w:line="312"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卖方（签章）： ____________________________________ </w:t>
      </w:r>
      <w:r/>
    </w:p>
    <w:p>
      <w:pPr>
        <w:jc w:val="both"/>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法定代表人或授权代表(签名)： ___________________</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jc w:val="center"/>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第六章  采购需求</w:t>
      </w:r>
      <w:r/>
    </w:p>
    <w:p>
      <w:pPr>
        <w:pStyle w:val="92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rPr>
        <w:t xml:space="preserve">一、项目说明</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1、睢宁县桃园镇消防车、巡逻车及消防器材采购项目。</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2、本项目采购的是非进口产品。</w:t>
      </w:r>
      <w:r/>
    </w:p>
    <w:p>
      <w:pPr>
        <w:ind w:firstLine="480"/>
        <w:spacing w:line="360" w:lineRule="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3、本项目标的所属行业：工业。</w:t>
      </w:r>
      <w:r/>
    </w:p>
    <w:p>
      <w:pPr>
        <w:ind w:firstLine="480"/>
        <w:spacing w:line="360" w:lineRule="auto"/>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4</w:t>
      </w:r>
      <w:r>
        <w:rPr>
          <w:rFonts w:hint="eastAsia" w:ascii="宋体" w:hAnsi="宋体" w:cs="宋体"/>
          <w:color w:val="auto"/>
          <w:sz w:val="24"/>
          <w:szCs w:val="24"/>
          <w:highlight w:val="none"/>
          <w:shd w:val="clear" w:color="auto" w:fill="auto"/>
        </w:rPr>
        <w:t xml:space="preserve">.本项目为非专门面向中小企业的项目。</w:t>
      </w:r>
      <w:r/>
    </w:p>
    <w:p>
      <w:pPr>
        <w:spacing w:line="360" w:lineRule="auto"/>
        <w:rPr>
          <w:rFonts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rPr>
        <w:t xml:space="preserve">二、采购预算 </w:t>
      </w:r>
      <w:r/>
    </w:p>
    <w:p>
      <w:pPr>
        <w:ind w:firstLine="480"/>
        <w:spacing w:line="360" w:lineRule="auto"/>
        <w:rPr>
          <w:rFonts w:hint="eastAsia" w:ascii="宋体" w:hAnsi="宋体" w:cs="宋体"/>
          <w:color w:val="auto"/>
          <w:sz w:val="24"/>
          <w:highlight w:val="none"/>
          <w:shd w:val="clear" w:color="auto" w:fill="auto"/>
        </w:rPr>
      </w:pPr>
      <w:r>
        <w:rPr>
          <w:rFonts w:hint="eastAsia" w:ascii="宋体" w:hAnsi="宋体" w:cs="宋体"/>
          <w:b/>
          <w:bCs/>
          <w:color w:val="auto"/>
          <w:sz w:val="24"/>
          <w:highlight w:val="none"/>
          <w:shd w:val="clear" w:color="auto" w:fill="auto"/>
          <w:lang w:val="en-US" w:eastAsia="zh-CN"/>
        </w:rPr>
        <w:t xml:space="preserve">本项目预算总金额为133</w:t>
      </w:r>
      <w:r>
        <w:rPr>
          <w:rFonts w:hint="eastAsia" w:ascii="宋体" w:hAnsi="宋体" w:cs="宋体"/>
          <w:b/>
          <w:bCs/>
          <w:color w:val="auto"/>
          <w:sz w:val="24"/>
          <w:highlight w:val="none"/>
          <w:shd w:val="clear" w:color="auto" w:fill="auto"/>
        </w:rPr>
        <w:t xml:space="preserve">万元</w:t>
      </w:r>
      <w:r>
        <w:rPr>
          <w:rFonts w:hint="eastAsia" w:ascii="宋体" w:hAnsi="宋体"/>
          <w:color w:val="auto"/>
          <w:sz w:val="24"/>
          <w:highlight w:val="none"/>
          <w:shd w:val="clear" w:color="auto" w:fill="auto"/>
        </w:rPr>
        <w:t xml:space="preserve">。</w:t>
      </w:r>
      <w:r>
        <w:rPr>
          <w:rFonts w:hint="eastAsia" w:ascii="宋体" w:hAnsi="宋体" w:cs="宋体"/>
          <w:color w:val="auto"/>
          <w:sz w:val="24"/>
          <w:highlight w:val="none"/>
          <w:shd w:val="clear" w:color="auto" w:fill="auto"/>
        </w:rPr>
        <w:t xml:space="preserve">投标报价包括产品、运费、安装、调试、检验、验收、维修、保险、培训、售后服务、税金、投标人的利润等全部费用。</w:t>
      </w:r>
      <w:r>
        <w:rPr>
          <w:rFonts w:hint="eastAsia" w:ascii="宋体" w:hAnsi="宋体" w:cs="宋体"/>
          <w:color w:val="auto"/>
          <w:sz w:val="24"/>
          <w:highlight w:val="none"/>
          <w:shd w:val="clear" w:color="auto" w:fill="auto"/>
          <w:lang w:val="zh-CN"/>
        </w:rPr>
        <w:t xml:space="preserve">投标人应充分了解该项目的总体情况、各类市场风险以及影响投标报价的其他要素风险。</w:t>
      </w:r>
      <w:r>
        <w:rPr>
          <w:rFonts w:hint="eastAsia" w:ascii="宋体" w:hAnsi="宋体" w:cs="宋体"/>
          <w:color w:val="auto"/>
          <w:sz w:val="24"/>
          <w:highlight w:val="none"/>
          <w:shd w:val="clear" w:color="auto" w:fill="auto"/>
        </w:rPr>
        <w:t xml:space="preserve">采购人不再支付报价以外的任何费用。</w:t>
      </w:r>
      <w:r/>
    </w:p>
    <w:p>
      <w:pPr>
        <w:ind w:firstLine="482"/>
        <w:jc w:val="both"/>
        <w:keepLines w:val="0"/>
        <w:keepNext w:val="0"/>
        <w:pageBreakBefore w:val="0"/>
        <w:spacing w:line="312" w:lineRule="auto"/>
        <w:widowControl/>
        <w:rPr>
          <w:rFonts w:hint="eastAsia" w:ascii="宋体" w:hAnsi="宋体" w:cs="宋体"/>
          <w:b/>
          <w:bCs w:val="0"/>
          <w:color w:val="000000" w:themeColor="text1"/>
          <w:sz w:val="24"/>
          <w:highlight w:val="none"/>
          <w:lang w:eastAsia="zh-CN"/>
          <w14:textFill>
            <w14:solidFill>
              <w14:schemeClr w14:val="tx1"/>
            </w14:solidFill>
          </w14:textFill>
        </w:rPr>
      </w:pPr>
      <w:r>
        <w:rPr>
          <w:rFonts w:hint="eastAsia" w:ascii="宋体" w:hAnsi="宋体" w:cs="宋体"/>
          <w:b/>
          <w:bCs w:val="0"/>
          <w:color w:val="000000" w:themeColor="text1"/>
          <w:sz w:val="24"/>
          <w:highlight w:val="none"/>
          <w:lang w:eastAsia="zh-CN"/>
          <w14:textFill>
            <w14:solidFill>
              <w14:schemeClr w14:val="tx1"/>
            </w14:solidFill>
          </w14:textFill>
        </w:rPr>
        <w:t xml:space="preserve">本项目</w:t>
      </w:r>
      <w:r>
        <w:rPr>
          <w:rFonts w:hint="eastAsia" w:ascii="宋体" w:hAnsi="宋体" w:cs="宋体"/>
          <w:b/>
          <w:bCs w:val="0"/>
          <w:color w:val="000000" w:themeColor="text1"/>
          <w:sz w:val="24"/>
          <w:highlight w:val="none"/>
          <w:lang w:val="en-US" w:eastAsia="zh-CN"/>
          <w14:textFill>
            <w14:solidFill>
              <w14:schemeClr w14:val="tx1"/>
            </w14:solidFill>
          </w14:textFill>
        </w:rPr>
        <w:t xml:space="preserve">预算金额</w:t>
      </w:r>
      <w:r>
        <w:rPr>
          <w:rFonts w:hint="eastAsia" w:ascii="宋体" w:hAnsi="宋体" w:cs="宋体"/>
          <w:b/>
          <w:bCs w:val="0"/>
          <w:color w:val="000000" w:themeColor="text1"/>
          <w:sz w:val="24"/>
          <w:highlight w:val="none"/>
          <w:lang w:eastAsia="zh-CN"/>
          <w14:textFill>
            <w14:solidFill>
              <w14:schemeClr w14:val="tx1"/>
            </w14:solidFill>
          </w14:textFill>
        </w:rPr>
        <w:t xml:space="preserve">:1</w:t>
      </w:r>
      <w:r>
        <w:rPr>
          <w:rFonts w:hint="eastAsia" w:ascii="宋体" w:hAnsi="宋体" w:cs="宋体"/>
          <w:b/>
          <w:bCs w:val="0"/>
          <w:color w:val="000000" w:themeColor="text1"/>
          <w:sz w:val="24"/>
          <w:highlight w:val="none"/>
          <w:lang w:val="en-US" w:eastAsia="zh-CN"/>
          <w14:textFill>
            <w14:solidFill>
              <w14:schemeClr w14:val="tx1"/>
            </w14:solidFill>
          </w14:textFill>
        </w:rPr>
        <w:t xml:space="preserve">33</w:t>
      </w:r>
      <w:r>
        <w:rPr>
          <w:rFonts w:hint="eastAsia" w:ascii="宋体" w:hAnsi="宋体" w:cs="宋体"/>
          <w:b/>
          <w:bCs w:val="0"/>
          <w:color w:val="000000" w:themeColor="text1"/>
          <w:sz w:val="24"/>
          <w:highlight w:val="none"/>
          <w:lang w:eastAsia="zh-CN"/>
          <w14:textFill>
            <w14:solidFill>
              <w14:schemeClr w14:val="tx1"/>
            </w14:solidFill>
          </w14:textFill>
        </w:rPr>
        <w:t xml:space="preserve">万元，其中：</w:t>
      </w:r>
      <w:r/>
    </w:p>
    <w:p>
      <w:pPr>
        <w:ind w:firstLine="482"/>
        <w:jc w:val="both"/>
        <w:keepLines w:val="0"/>
        <w:keepNext w:val="0"/>
        <w:pageBreakBefore w:val="0"/>
        <w:spacing w:line="312" w:lineRule="auto"/>
        <w:widowControl/>
        <w:rPr>
          <w:rFonts w:hint="eastAsia" w:ascii="宋体" w:hAnsi="宋体" w:cs="宋体"/>
          <w:b/>
          <w:bCs w:val="0"/>
          <w:color w:val="000000" w:themeColor="text1"/>
          <w:sz w:val="24"/>
          <w:highlight w:val="none"/>
          <w:lang w:eastAsia="zh-CN"/>
          <w14:textFill>
            <w14:solidFill>
              <w14:schemeClr w14:val="tx1"/>
            </w14:solidFill>
          </w14:textFill>
        </w:rPr>
      </w:pPr>
      <w:r>
        <w:rPr>
          <w:rFonts w:hint="eastAsia" w:ascii="宋体" w:hAnsi="宋体" w:cs="宋体"/>
          <w:b/>
          <w:bCs w:val="0"/>
          <w:color w:val="000000" w:themeColor="text1"/>
          <w:sz w:val="24"/>
          <w:highlight w:val="none"/>
          <w:lang w:eastAsia="zh-CN"/>
          <w14:textFill>
            <w14:solidFill>
              <w14:schemeClr w14:val="tx1"/>
            </w14:solidFill>
          </w14:textFill>
        </w:rPr>
        <w:t xml:space="preserve">①8吨泡沫消防车最高限价</w:t>
      </w:r>
      <w:r>
        <w:rPr>
          <w:rFonts w:hint="eastAsia" w:ascii="宋体" w:hAnsi="宋体" w:cs="宋体"/>
          <w:b/>
          <w:bCs w:val="0"/>
          <w:color w:val="000000" w:themeColor="text1"/>
          <w:sz w:val="24"/>
          <w:highlight w:val="none"/>
          <w:lang w:val="en-US" w:eastAsia="zh-CN"/>
          <w14:textFill>
            <w14:solidFill>
              <w14:schemeClr w14:val="tx1"/>
            </w14:solidFill>
          </w14:textFill>
        </w:rPr>
        <w:t xml:space="preserve">77</w:t>
      </w:r>
      <w:r>
        <w:rPr>
          <w:rFonts w:hint="eastAsia" w:ascii="宋体" w:hAnsi="宋体" w:cs="宋体"/>
          <w:b/>
          <w:bCs w:val="0"/>
          <w:color w:val="000000" w:themeColor="text1"/>
          <w:sz w:val="24"/>
          <w:highlight w:val="none"/>
          <w:lang w:eastAsia="zh-CN"/>
          <w14:textFill>
            <w14:solidFill>
              <w14:schemeClr w14:val="tx1"/>
            </w14:solidFill>
          </w14:textFill>
        </w:rPr>
        <w:t xml:space="preserve">万元；②4吨水罐消防车最高限价</w:t>
      </w:r>
      <w:r>
        <w:rPr>
          <w:rFonts w:hint="eastAsia" w:ascii="宋体" w:hAnsi="宋体" w:cs="宋体"/>
          <w:b/>
          <w:bCs w:val="0"/>
          <w:color w:val="000000" w:themeColor="text1"/>
          <w:sz w:val="24"/>
          <w:highlight w:val="none"/>
          <w:lang w:val="en-US" w:eastAsia="zh-CN"/>
          <w14:textFill>
            <w14:solidFill>
              <w14:schemeClr w14:val="tx1"/>
            </w14:solidFill>
          </w14:textFill>
        </w:rPr>
        <w:t xml:space="preserve">56</w:t>
      </w:r>
      <w:r>
        <w:rPr>
          <w:rFonts w:hint="eastAsia" w:ascii="宋体" w:hAnsi="宋体" w:cs="宋体"/>
          <w:b/>
          <w:bCs w:val="0"/>
          <w:color w:val="000000" w:themeColor="text1"/>
          <w:sz w:val="24"/>
          <w:highlight w:val="none"/>
          <w:lang w:eastAsia="zh-CN"/>
          <w14:textFill>
            <w14:solidFill>
              <w14:schemeClr w14:val="tx1"/>
            </w14:solidFill>
          </w14:textFill>
        </w:rPr>
        <w:t xml:space="preserve">万元；</w:t>
      </w:r>
      <w:r/>
    </w:p>
    <w:p>
      <w:pPr>
        <w:spacing w:line="360" w:lineRule="auto"/>
        <w:rPr>
          <w:rFonts w:ascii="宋体" w:hAnsi="宋体" w:cs="宋体"/>
          <w:b/>
          <w:color w:val="auto"/>
          <w:sz w:val="24"/>
          <w:szCs w:val="24"/>
          <w:highlight w:val="none"/>
          <w:shd w:val="clear" w:color="auto" w:fill="auto"/>
        </w:rPr>
      </w:pPr>
      <w:r>
        <w:rPr>
          <w:rFonts w:hint="eastAsia" w:ascii="宋体" w:hAnsi="宋体" w:cs="宋体"/>
          <w:b/>
          <w:color w:val="auto"/>
          <w:sz w:val="24"/>
          <w:szCs w:val="24"/>
          <w:highlight w:val="none"/>
          <w:shd w:val="clear" w:color="auto" w:fill="auto"/>
        </w:rPr>
        <w:t xml:space="preserve">三、项目概况</w:t>
      </w:r>
      <w:r/>
    </w:p>
    <w:p>
      <w:pPr>
        <w:ind w:firstLine="480"/>
        <w:spacing w:line="360" w:lineRule="auto"/>
        <w:rPr>
          <w:rFonts w:hint="eastAsia" w:ascii="宋体" w:hAnsi="宋体" w:eastAsia="宋体" w:cs="宋体"/>
          <w:color w:val="auto"/>
          <w:sz w:val="24"/>
          <w:szCs w:val="24"/>
          <w:highlight w:val="none"/>
          <w:shd w:val="clear" w:color="auto" w:fill="auto"/>
          <w:lang w:eastAsia="zh-CN"/>
        </w:rPr>
      </w:pPr>
      <w:r>
        <w:rPr>
          <w:rFonts w:hint="eastAsia" w:ascii="宋体" w:hAnsi="宋体" w:cs="宋体"/>
          <w:color w:val="auto"/>
          <w:sz w:val="24"/>
          <w:szCs w:val="24"/>
          <w:highlight w:val="none"/>
          <w:shd w:val="clear" w:color="auto" w:fill="auto"/>
        </w:rPr>
        <w:t xml:space="preserve">1、项目名称：睢宁县桃园镇消防车、巡逻车及消防器材采购项目</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2、供货</w:t>
      </w:r>
      <w:r>
        <w:rPr>
          <w:rFonts w:hint="eastAsia" w:ascii="宋体" w:hAnsi="宋体" w:cs="宋体"/>
          <w:color w:val="auto"/>
          <w:sz w:val="24"/>
          <w:szCs w:val="24"/>
          <w:highlight w:val="none"/>
          <w:shd w:val="clear" w:color="auto" w:fill="auto"/>
          <w:lang w:val="zh-CN" w:eastAsia="zh-Hans"/>
        </w:rPr>
        <w:t xml:space="preserve">地点：采购人指定地点。</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3、供货期限：自合同签订之日起</w:t>
      </w:r>
      <w:r>
        <w:rPr>
          <w:rFonts w:hint="eastAsia" w:ascii="宋体" w:hAnsi="宋体" w:cs="宋体"/>
          <w:color w:val="auto"/>
          <w:sz w:val="24"/>
          <w:szCs w:val="24"/>
          <w:highlight w:val="none"/>
          <w:u w:val="single"/>
          <w:shd w:val="clear" w:color="auto" w:fill="auto"/>
        </w:rPr>
        <w:t xml:space="preserve"> </w:t>
      </w:r>
      <w:r>
        <w:rPr>
          <w:rFonts w:hint="eastAsia" w:ascii="宋体" w:hAnsi="宋体" w:cs="宋体"/>
          <w:color w:val="auto"/>
          <w:sz w:val="24"/>
          <w:szCs w:val="24"/>
          <w:highlight w:val="none"/>
          <w:u w:val="single"/>
          <w:shd w:val="clear" w:color="auto" w:fill="auto"/>
          <w:lang w:val="en-US" w:eastAsia="zh-CN"/>
        </w:rPr>
        <w:t xml:space="preserve">30 </w:t>
      </w:r>
      <w:r>
        <w:rPr>
          <w:rFonts w:hint="eastAsia" w:ascii="宋体" w:hAnsi="宋体" w:cs="宋体"/>
          <w:color w:val="auto"/>
          <w:sz w:val="24"/>
          <w:szCs w:val="24"/>
          <w:highlight w:val="none"/>
          <w:shd w:val="clear" w:color="auto" w:fill="auto"/>
        </w:rPr>
        <w:t xml:space="preserve">日内交货并调试完毕。</w:t>
      </w:r>
      <w:r/>
    </w:p>
    <w:p>
      <w:pPr>
        <w:ind w:firstLine="480"/>
        <w:spacing w:line="360" w:lineRule="auto"/>
        <w:rPr>
          <w:rFonts w:ascii="宋体" w:hAnsi="宋体" w:cs="宋体"/>
          <w:b/>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4、质量标准：符国家“合格”标准。产品质量、性能指标、维修保养及售后服务等必须达到招标文件相关技术要求以及国家现行规范和规定标准。</w:t>
      </w:r>
      <w:r/>
    </w:p>
    <w:p>
      <w:pPr>
        <w:spacing w:line="360" w:lineRule="auto"/>
        <w:rPr>
          <w:rFonts w:hint="eastAsia" w:ascii="宋体" w:hAnsi="宋体" w:cs="宋体"/>
          <w:b/>
          <w:bCs/>
          <w:color w:val="auto"/>
          <w:sz w:val="24"/>
          <w:szCs w:val="24"/>
          <w:highlight w:val="none"/>
          <w:shd w:val="clear" w:color="auto" w:fill="auto"/>
        </w:rPr>
      </w:pPr>
      <w:r>
        <w:rPr>
          <w:rFonts w:hint="eastAsia" w:ascii="宋体" w:hAnsi="宋体" w:cs="宋体"/>
          <w:b/>
          <w:bCs/>
          <w:color w:val="auto"/>
          <w:sz w:val="24"/>
          <w:szCs w:val="24"/>
          <w:highlight w:val="none"/>
          <w:shd w:val="clear" w:color="auto" w:fill="auto"/>
        </w:rPr>
        <w:t xml:space="preserve">四、采购清单及技术参数、配置要求</w:t>
      </w:r>
      <w:r/>
    </w:p>
    <w:p>
      <w:pPr>
        <w:spacing w:line="360" w:lineRule="auto"/>
        <w:rPr>
          <w:rFonts w:hint="eastAsia" w:ascii="宋体" w:hAnsi="宋体" w:cs="宋体"/>
          <w:b/>
          <w:bCs/>
          <w:color w:val="auto"/>
          <w:sz w:val="24"/>
          <w:szCs w:val="24"/>
          <w:highlight w:val="none"/>
          <w:shd w:val="clear" w:color="auto" w:fill="auto"/>
          <w:lang w:val="en-US" w:eastAsia="zh-CN"/>
        </w:rPr>
      </w:pPr>
      <w:r>
        <w:rPr>
          <w:rFonts w:hint="eastAsia" w:ascii="宋体" w:hAnsi="宋体" w:cs="宋体"/>
          <w:b/>
          <w:bCs/>
          <w:color w:val="auto"/>
          <w:sz w:val="24"/>
          <w:szCs w:val="24"/>
          <w:highlight w:val="none"/>
          <w:shd w:val="clear" w:color="auto" w:fill="auto"/>
          <w:lang w:val="en-US" w:eastAsia="zh-CN"/>
        </w:rPr>
        <w:t xml:space="preserve">8吨泡沫消防车，数量：一辆。</w:t>
      </w:r>
      <w:r/>
    </w:p>
    <w:p>
      <w:pPr>
        <w:pStyle w:val="719"/>
        <w:ind w:left="0" w:firstLine="0"/>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1.整车参数</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 外形尺寸：≤8700mm×25</w:t>
      </w:r>
      <w:r>
        <w:rPr>
          <w:rFonts w:hint="eastAsia" w:ascii="宋体" w:hAnsi="宋体" w:eastAsia="宋体" w:cs="宋体"/>
          <w:color w:val="auto"/>
          <w:sz w:val="21"/>
          <w:szCs w:val="21"/>
          <w:lang w:val="en-US"/>
        </w:rPr>
        <w:t xml:space="preserve">5</w:t>
      </w:r>
      <w:r>
        <w:rPr>
          <w:rFonts w:hint="eastAsia" w:ascii="宋体" w:hAnsi="宋体" w:eastAsia="宋体" w:cs="宋体"/>
          <w:color w:val="auto"/>
          <w:sz w:val="21"/>
          <w:szCs w:val="21"/>
        </w:rPr>
        <w:t xml:space="preserve">0mm×3800mm；</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1.2乘员人数：2+4人 ；</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1.3最高车速：≥</w:t>
      </w:r>
      <w:r>
        <w:rPr>
          <w:rFonts w:hint="eastAsia" w:ascii="宋体" w:hAnsi="宋体" w:eastAsia="宋体" w:cs="宋体"/>
          <w:color w:val="auto"/>
          <w:sz w:val="21"/>
          <w:szCs w:val="21"/>
          <w:lang w:val="en-US"/>
        </w:rPr>
        <w:t xml:space="preserve">95</w:t>
      </w:r>
      <w:r>
        <w:rPr>
          <w:rFonts w:hint="eastAsia" w:ascii="宋体" w:hAnsi="宋体" w:eastAsia="宋体" w:cs="宋体"/>
          <w:color w:val="auto"/>
          <w:sz w:val="21"/>
          <w:szCs w:val="21"/>
        </w:rPr>
        <w:t xml:space="preserve">km/h；</w:t>
      </w:r>
      <w:r/>
    </w:p>
    <w:p>
      <w:pPr>
        <w:pStyle w:val="719"/>
        <w:ind w:left="0" w:firstLine="0"/>
        <w:keepLines w:val="0"/>
        <w:keepNext w:val="0"/>
        <w:pageBreakBefore w:val="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★1.4排放标准：国六</w:t>
      </w:r>
      <w:r>
        <w:rPr>
          <w:rFonts w:hint="eastAsia" w:ascii="宋体" w:hAnsi="宋体" w:eastAsia="宋体" w:cs="宋体"/>
          <w:color w:val="auto"/>
          <w:sz w:val="21"/>
          <w:szCs w:val="21"/>
          <w:lang w:val="zh-CN"/>
        </w:rPr>
        <w:t xml:space="preserve">（可上</w:t>
      </w:r>
      <w:r>
        <w:rPr>
          <w:rFonts w:hint="eastAsia" w:ascii="宋体" w:hAnsi="宋体" w:eastAsia="宋体" w:cs="宋体"/>
          <w:color w:val="auto"/>
          <w:sz w:val="21"/>
          <w:szCs w:val="21"/>
        </w:rPr>
        <w:t xml:space="preserve">地方</w:t>
      </w:r>
      <w:r>
        <w:rPr>
          <w:rFonts w:hint="eastAsia" w:ascii="宋体" w:hAnsi="宋体" w:eastAsia="宋体" w:cs="宋体"/>
          <w:color w:val="auto"/>
          <w:sz w:val="21"/>
          <w:szCs w:val="21"/>
          <w:lang w:val="zh-CN"/>
        </w:rPr>
        <w:t xml:space="preserve">牌照）；</w:t>
      </w:r>
      <w:r/>
    </w:p>
    <w:p>
      <w:pPr>
        <w:pStyle w:val="720"/>
        <w:ind w:left="0" w:firstLine="0"/>
        <w:keepLines w:val="0"/>
        <w:keepNext w:val="0"/>
        <w:pageBreakBefore w:val="0"/>
        <w:spacing w:after="0"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rPr>
        <w:t xml:space="preserve">1.5</w:t>
      </w:r>
      <w:r>
        <w:rPr>
          <w:rFonts w:hint="eastAsia" w:ascii="宋体" w:hAnsi="宋体" w:eastAsia="宋体" w:cs="宋体"/>
          <w:color w:val="auto"/>
          <w:sz w:val="21"/>
          <w:szCs w:val="21"/>
          <w:lang w:val="en-US" w:eastAsia="zh-CN"/>
        </w:rPr>
        <w:t xml:space="preserve">比功率：≥13kW/t。</w:t>
      </w:r>
      <w:r/>
    </w:p>
    <w:p>
      <w:pPr>
        <w:pStyle w:val="719"/>
        <w:ind w:left="0" w:firstLine="0"/>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2.底盘参数</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驱动形式：4×2；</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轴距：4700mm；</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驾驶室：原装</w:t>
      </w:r>
      <w:r>
        <w:rPr>
          <w:rFonts w:hint="eastAsia" w:ascii="宋体" w:hAnsi="宋体" w:eastAsia="宋体" w:cs="宋体"/>
          <w:bCs/>
          <w:color w:val="auto"/>
          <w:sz w:val="21"/>
          <w:szCs w:val="21"/>
        </w:rPr>
        <w:t xml:space="preserve">四门双排座；准乘2+4人</w:t>
      </w:r>
      <w:r>
        <w:rPr>
          <w:rFonts w:hint="eastAsia" w:ascii="宋体" w:hAnsi="宋体" w:eastAsia="宋体" w:cs="宋体"/>
          <w:color w:val="auto"/>
          <w:sz w:val="21"/>
          <w:szCs w:val="21"/>
        </w:rPr>
        <w:t xml:space="preserve">，</w:t>
      </w:r>
      <w:r>
        <w:rPr>
          <w:rFonts w:hint="eastAsia" w:ascii="宋体" w:hAnsi="宋体" w:eastAsia="宋体" w:cs="宋体"/>
          <w:bCs/>
          <w:color w:val="auto"/>
          <w:sz w:val="21"/>
          <w:szCs w:val="21"/>
        </w:rPr>
        <w:t xml:space="preserve">电动举升翻转系统，四点全浮驾驶室悬置；驾驶员为可调座椅，前排座椅均装置三点式汽车安全带，后排标配有4个空呼器座椅，配有三点式安全带；驾驶室空调系统，三锁（车门锁、车辆启动开关、油箱盖锁）合一；两侧电动主后视镜，两侧广角后视镜，右侧补盲后视镜，右前下视镜；</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额定功率：≥250kw/2200rpm；</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rPr>
        <w:t xml:space="preserve">取力器:底盘原装夹心式取力器；</w:t>
      </w:r>
      <w:r/>
    </w:p>
    <w:p>
      <w:pPr>
        <w:pStyle w:val="951"/>
        <w:ind w:left="0" w:firstLine="0"/>
        <w:keepLines w:val="0"/>
        <w:keepNext w:val="0"/>
        <w:pageBreakBefore w:val="0"/>
        <w:spacing w:line="360" w:lineRule="auto"/>
        <w:shd w:val="clear" w:color="auto"/>
        <w:rPr>
          <w:rFonts w:hint="eastAsia" w:ascii="宋体" w:hAnsi="宋体" w:eastAsia="宋体" w:cs="宋体"/>
          <w:bCs/>
          <w:color w:val="auto"/>
          <w:sz w:val="21"/>
          <w:szCs w:val="21"/>
        </w:rPr>
      </w:pPr>
      <w:r>
        <w:rPr>
          <w:rFonts w:hint="eastAsia" w:ascii="宋体" w:hAnsi="宋体" w:eastAsia="宋体" w:cs="宋体"/>
          <w:b w:val="0"/>
          <w:color w:val="auto"/>
          <w:sz w:val="21"/>
          <w:szCs w:val="21"/>
        </w:rPr>
        <w:t xml:space="preserve">2.</w:t>
      </w:r>
      <w:r>
        <w:rPr>
          <w:rFonts w:hint="eastAsia" w:ascii="宋体" w:hAnsi="宋体" w:eastAsia="宋体" w:cs="宋体"/>
          <w:b w:val="0"/>
          <w:color w:val="auto"/>
          <w:sz w:val="21"/>
          <w:szCs w:val="21"/>
          <w:lang w:val="en-US" w:eastAsia="zh-CN"/>
        </w:rPr>
        <w:t xml:space="preserve">6</w:t>
      </w:r>
      <w:r>
        <w:rPr>
          <w:rFonts w:hint="eastAsia" w:ascii="宋体" w:hAnsi="宋体" w:eastAsia="宋体" w:cs="宋体"/>
          <w:b w:val="0"/>
          <w:color w:val="auto"/>
          <w:sz w:val="21"/>
          <w:szCs w:val="21"/>
        </w:rPr>
        <w:t xml:space="preserve">制动系统:行车制动：双回路气压制动系统；驻车制动：弹簧储能放气制动；辅助制动：发动机排气</w:t>
      </w:r>
      <w:r>
        <w:rPr>
          <w:rFonts w:hint="eastAsia" w:ascii="宋体" w:hAnsi="宋体" w:eastAsia="宋体" w:cs="宋体"/>
          <w:b w:val="0"/>
          <w:bCs/>
          <w:color w:val="auto"/>
          <w:sz w:val="21"/>
          <w:szCs w:val="21"/>
        </w:rPr>
        <w:t xml:space="preserve">制动；EBS电控制动系统（含ABS功能）；ESC电子车身稳定系统；</w:t>
      </w:r>
      <w:r/>
    </w:p>
    <w:p>
      <w:pPr>
        <w:pStyle w:val="719"/>
        <w:ind w:left="0" w:firstLine="0"/>
        <w:keepLines w:val="0"/>
        <w:keepNext w:val="0"/>
        <w:pageBreakBefore w:val="0"/>
        <w:spacing w:line="360" w:lineRule="auto"/>
        <w:shd w:val="clear" w:color="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7</w:t>
      </w:r>
      <w:r>
        <w:rPr>
          <w:rFonts w:hint="eastAsia" w:ascii="宋体" w:hAnsi="宋体" w:eastAsia="宋体" w:cs="宋体"/>
          <w:color w:val="auto"/>
          <w:sz w:val="21"/>
          <w:szCs w:val="21"/>
        </w:rPr>
        <w:t xml:space="preserve">轮胎型号：315/80 R22.5，子午线钢丝轮胎，共6条</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备胎：1条（随车）；</w:t>
      </w:r>
      <w:r/>
    </w:p>
    <w:p>
      <w:pPr>
        <w:pStyle w:val="720"/>
        <w:keepLines w:val="0"/>
        <w:keepNext w:val="0"/>
        <w:pageBreakBefore w:val="0"/>
        <w:spacing w:after="0" w:line="360" w:lineRule="auto"/>
        <w:shd w:val="clear" w:color="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rPr>
        <w:t xml:space="preserve">2.</w:t>
      </w:r>
      <w:r>
        <w:rPr>
          <w:rFonts w:hint="eastAsia" w:ascii="宋体" w:hAnsi="宋体" w:eastAsia="宋体" w:cs="宋体"/>
          <w:color w:val="auto"/>
          <w:sz w:val="21"/>
          <w:szCs w:val="21"/>
          <w:lang w:val="en-US" w:eastAsia="zh-CN"/>
        </w:rPr>
        <w:t xml:space="preserve">8油箱容积：≥180L，油箱采用不低于铝合金材质，可有效减轻整车重量；尿素罐容积：≥40L；</w:t>
      </w:r>
      <w:r/>
    </w:p>
    <w:p>
      <w:pPr>
        <w:pStyle w:val="720"/>
        <w:keepLines w:val="0"/>
        <w:keepNext w:val="0"/>
        <w:pageBreakBefore w:val="0"/>
        <w:spacing w:after="0"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2.9配备底盘原装全轮胎压监测系统。</w:t>
      </w:r>
      <w:r/>
    </w:p>
    <w:p>
      <w:pPr>
        <w:pStyle w:val="719"/>
        <w:ind w:left="0" w:firstLine="0"/>
        <w:keepLines w:val="0"/>
        <w:keepNext w:val="0"/>
        <w:pageBreakBefore w:val="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rPr>
        <w:t xml:space="preserve">3.消防泵</w:t>
      </w:r>
      <w:r>
        <w:rPr>
          <w:rFonts w:hint="eastAsia" w:ascii="宋体" w:hAnsi="宋体" w:eastAsia="宋体" w:cs="宋体"/>
          <w:b/>
          <w:bCs/>
          <w:color w:val="auto"/>
          <w:sz w:val="21"/>
          <w:szCs w:val="21"/>
          <w:lang w:val="zh-CN"/>
        </w:rPr>
        <w:t xml:space="preserve">泵系统参数</w:t>
      </w:r>
      <w:r/>
    </w:p>
    <w:p>
      <w:pPr>
        <w:pStyle w:val="952"/>
        <w:ind w:left="0" w:firstLine="0"/>
        <w:jc w:val="both"/>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w:t>
      </w: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rPr>
        <w:t xml:space="preserve">裸泵参数：60L/s@1.0MPa；</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3.</w:t>
      </w: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rPr>
        <w:t xml:space="preserve">车载泵参数：≥1.0MPa，≥60L/s；</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eastAsia="zh-CN"/>
        </w:rPr>
        <w:t xml:space="preserve">引水时间</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50s</w:t>
      </w:r>
      <w:r>
        <w:rPr>
          <w:rFonts w:hint="eastAsia" w:ascii="宋体" w:hAnsi="宋体" w:eastAsia="宋体" w:cs="宋体"/>
          <w:color w:val="auto"/>
          <w:sz w:val="21"/>
          <w:szCs w:val="21"/>
        </w:rPr>
        <w:t xml:space="preserve">；</w:t>
      </w:r>
      <w:r/>
    </w:p>
    <w:p>
      <w:pPr>
        <w:pStyle w:val="719"/>
        <w:ind w:left="0" w:firstLine="0"/>
        <w:keepLines w:val="0"/>
        <w:keepNext w:val="0"/>
        <w:pageBreakBefore w:val="0"/>
        <w:spacing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rPr>
        <w:t xml:space="preserve">4.消防炮</w:t>
      </w:r>
      <w:r>
        <w:rPr>
          <w:rFonts w:hint="eastAsia" w:ascii="宋体" w:hAnsi="宋体" w:eastAsia="宋体" w:cs="宋体"/>
          <w:b/>
          <w:bCs/>
          <w:color w:val="auto"/>
          <w:sz w:val="21"/>
          <w:szCs w:val="21"/>
          <w:lang w:val="zh-CN"/>
        </w:rPr>
        <w:t xml:space="preserve">系统参数</w:t>
      </w:r>
      <w:r/>
    </w:p>
    <w:p>
      <w:pPr>
        <w:pStyle w:val="952"/>
        <w:ind w:left="0" w:firstLine="0"/>
        <w:jc w:val="both"/>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w:t>
      </w:r>
      <w:r>
        <w:rPr>
          <w:rFonts w:hint="eastAsia" w:ascii="宋体" w:hAnsi="宋体" w:eastAsia="宋体" w:cs="宋体"/>
          <w:bCs/>
          <w:color w:val="auto"/>
          <w:sz w:val="21"/>
          <w:szCs w:val="21"/>
          <w:lang w:val="en-US" w:eastAsia="zh-CN"/>
        </w:rPr>
        <w:t xml:space="preserve">1</w:t>
      </w:r>
      <w:r>
        <w:rPr>
          <w:rFonts w:hint="eastAsia" w:ascii="宋体" w:hAnsi="宋体" w:eastAsia="宋体" w:cs="宋体"/>
          <w:bCs/>
          <w:color w:val="auto"/>
          <w:sz w:val="21"/>
          <w:szCs w:val="21"/>
        </w:rPr>
        <w:t xml:space="preserve">水、泡沫两用手动消防炮；</w:t>
      </w:r>
      <w:r/>
    </w:p>
    <w:p>
      <w:pPr>
        <w:pStyle w:val="952"/>
        <w:ind w:left="0" w:firstLine="0"/>
        <w:jc w:val="both"/>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w:t>
      </w: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rPr>
        <w:t xml:space="preserve">控制方式：手动；</w:t>
      </w:r>
      <w:r/>
    </w:p>
    <w:p>
      <w:pPr>
        <w:pStyle w:val="952"/>
        <w:ind w:left="0" w:firstLine="0"/>
        <w:jc w:val="both"/>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w:t>
      </w:r>
      <w:r>
        <w:rPr>
          <w:rFonts w:hint="eastAsia" w:ascii="宋体" w:hAnsi="宋体" w:eastAsia="宋体" w:cs="宋体"/>
          <w:bCs/>
          <w:color w:val="auto"/>
          <w:sz w:val="21"/>
          <w:szCs w:val="21"/>
          <w:lang w:val="en-US" w:eastAsia="zh-CN"/>
        </w:rPr>
        <w:t xml:space="preserve">3</w:t>
      </w:r>
      <w:r>
        <w:rPr>
          <w:rFonts w:hint="eastAsia" w:ascii="宋体" w:hAnsi="宋体" w:eastAsia="宋体" w:cs="宋体"/>
          <w:bCs/>
          <w:color w:val="auto"/>
          <w:sz w:val="21"/>
          <w:szCs w:val="21"/>
          <w:lang w:eastAsia="zh-CN"/>
        </w:rPr>
        <w:t xml:space="preserve">消防炮流量</w:t>
      </w:r>
      <w:r>
        <w:rPr>
          <w:rFonts w:hint="eastAsia" w:ascii="宋体" w:hAnsi="宋体" w:eastAsia="宋体" w:cs="宋体"/>
          <w:bCs/>
          <w:color w:val="auto"/>
          <w:sz w:val="21"/>
          <w:szCs w:val="21"/>
        </w:rPr>
        <w:t xml:space="preserve">：</w:t>
      </w:r>
      <w:r>
        <w:rPr>
          <w:rFonts w:hint="eastAsia" w:ascii="宋体" w:hAnsi="宋体" w:eastAsia="宋体" w:cs="宋体"/>
          <w:bCs/>
          <w:color w:val="auto"/>
          <w:sz w:val="21"/>
          <w:szCs w:val="21"/>
          <w:lang w:eastAsia="zh-CN"/>
        </w:rPr>
        <w:t xml:space="preserve">≥</w:t>
      </w:r>
      <w:r>
        <w:rPr>
          <w:rFonts w:hint="eastAsia" w:ascii="宋体" w:hAnsi="宋体" w:eastAsia="宋体" w:cs="宋体"/>
          <w:bCs/>
          <w:color w:val="auto"/>
          <w:sz w:val="21"/>
          <w:szCs w:val="21"/>
          <w:lang w:val="en-US" w:eastAsia="zh-CN"/>
        </w:rPr>
        <w:t xml:space="preserve">45L/s</w:t>
      </w:r>
      <w:r>
        <w:rPr>
          <w:rFonts w:hint="eastAsia" w:ascii="宋体" w:hAnsi="宋体" w:eastAsia="宋体" w:cs="宋体"/>
          <w:bCs/>
          <w:color w:val="auto"/>
          <w:sz w:val="21"/>
          <w:szCs w:val="21"/>
        </w:rPr>
        <w:t xml:space="preserve">；</w:t>
      </w:r>
      <w:r/>
    </w:p>
    <w:p>
      <w:pPr>
        <w:pStyle w:val="719"/>
        <w:ind w:left="0" w:firstLine="0"/>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w:t>
      </w:r>
      <w:r>
        <w:rPr>
          <w:rFonts w:hint="eastAsia" w:ascii="宋体" w:hAnsi="宋体" w:eastAsia="宋体" w:cs="宋体"/>
          <w:bCs/>
          <w:color w:val="auto"/>
          <w:sz w:val="21"/>
          <w:szCs w:val="21"/>
          <w:lang w:val="en-US" w:eastAsia="zh-CN"/>
        </w:rPr>
        <w:t xml:space="preserve">4</w:t>
      </w:r>
      <w:r>
        <w:rPr>
          <w:rFonts w:hint="eastAsia" w:ascii="宋体" w:hAnsi="宋体" w:eastAsia="宋体" w:cs="宋体"/>
          <w:color w:val="auto"/>
          <w:sz w:val="21"/>
          <w:szCs w:val="21"/>
        </w:rPr>
        <w:t xml:space="preserve">射程：≥60</w:t>
      </w:r>
      <w:r>
        <w:rPr>
          <w:rFonts w:hint="eastAsia" w:ascii="宋体" w:hAnsi="宋体" w:eastAsia="宋体" w:cs="宋体"/>
          <w:color w:val="auto"/>
          <w:sz w:val="21"/>
          <w:szCs w:val="21"/>
          <w:lang w:val="en-US"/>
        </w:rPr>
        <w:t xml:space="preserve">m</w:t>
      </w:r>
      <w:r>
        <w:rPr>
          <w:rFonts w:hint="eastAsia" w:ascii="宋体" w:hAnsi="宋体" w:eastAsia="宋体" w:cs="宋体"/>
          <w:color w:val="auto"/>
          <w:sz w:val="21"/>
          <w:szCs w:val="21"/>
        </w:rPr>
        <w:t xml:space="preserve">；</w:t>
      </w:r>
      <w:r/>
    </w:p>
    <w:p>
      <w:pPr>
        <w:pStyle w:val="719"/>
        <w:ind w:left="0" w:firstLine="0"/>
        <w:keepLines w:val="0"/>
        <w:keepNext w:val="0"/>
        <w:pageBreakBefore w:val="0"/>
        <w:spacing w:line="36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4.</w:t>
      </w:r>
      <w:r>
        <w:rPr>
          <w:rFonts w:hint="eastAsia" w:ascii="宋体" w:hAnsi="宋体" w:eastAsia="宋体" w:cs="宋体"/>
          <w:color w:val="auto"/>
          <w:sz w:val="21"/>
          <w:szCs w:val="21"/>
          <w:lang w:val="en-US" w:eastAsia="zh-CN"/>
        </w:rPr>
        <w:t xml:space="preserve">5</w:t>
      </w:r>
      <w:r>
        <w:rPr>
          <w:rFonts w:hint="eastAsia" w:ascii="宋体" w:hAnsi="宋体" w:eastAsia="宋体" w:cs="宋体"/>
          <w:color w:val="auto"/>
          <w:sz w:val="21"/>
          <w:szCs w:val="21"/>
          <w:lang w:eastAsia="zh-CN"/>
        </w:rPr>
        <w:t xml:space="preserve">消防炮装车后水平回转角：≥</w:t>
      </w:r>
      <w:r>
        <w:rPr>
          <w:rFonts w:hint="eastAsia" w:ascii="宋体" w:hAnsi="宋体" w:eastAsia="宋体" w:cs="宋体"/>
          <w:color w:val="auto"/>
          <w:sz w:val="21"/>
          <w:szCs w:val="21"/>
          <w:lang w:val="en-US" w:eastAsia="zh-CN"/>
        </w:rPr>
        <w:t xml:space="preserve">350°；</w:t>
      </w:r>
      <w:r/>
    </w:p>
    <w:p>
      <w:pPr>
        <w:pStyle w:val="719"/>
        <w:ind w:left="0" w:firstLine="0"/>
        <w:keepLines w:val="0"/>
        <w:keepNext w:val="0"/>
        <w:pageBreakBefore w:val="0"/>
        <w:spacing w:line="360" w:lineRule="auto"/>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rPr>
        <w:t xml:space="preserve">4.</w:t>
      </w:r>
      <w:r>
        <w:rPr>
          <w:rFonts w:hint="eastAsia" w:ascii="宋体" w:hAnsi="宋体" w:eastAsia="宋体" w:cs="宋体"/>
          <w:bCs/>
          <w:color w:val="auto"/>
          <w:sz w:val="21"/>
          <w:szCs w:val="21"/>
          <w:lang w:val="en-US" w:eastAsia="zh-CN"/>
        </w:rPr>
        <w:t xml:space="preserve">6</w:t>
      </w:r>
      <w:r>
        <w:rPr>
          <w:rFonts w:hint="eastAsia" w:ascii="宋体" w:hAnsi="宋体" w:eastAsia="宋体" w:cs="宋体"/>
          <w:bCs/>
          <w:color w:val="auto"/>
          <w:sz w:val="21"/>
          <w:szCs w:val="21"/>
          <w:lang w:eastAsia="zh-CN"/>
        </w:rPr>
        <w:t xml:space="preserve">消防炮装车后俯角≤</w:t>
      </w:r>
      <w:r>
        <w:rPr>
          <w:rFonts w:hint="eastAsia" w:ascii="宋体" w:hAnsi="宋体" w:eastAsia="宋体" w:cs="宋体"/>
          <w:bCs/>
          <w:color w:val="auto"/>
          <w:sz w:val="21"/>
          <w:szCs w:val="21"/>
          <w:lang w:val="en-US" w:eastAsia="zh-CN"/>
        </w:rPr>
        <w:t xml:space="preserve">-18°，仰角：≥75°；</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bCs/>
          <w:color w:val="auto"/>
          <w:sz w:val="21"/>
          <w:szCs w:val="21"/>
          <w:lang w:val="en-US"/>
        </w:rPr>
        <w:t xml:space="preserve">4.</w:t>
      </w:r>
      <w:r>
        <w:rPr>
          <w:rFonts w:hint="eastAsia" w:ascii="宋体" w:hAnsi="宋体" w:eastAsia="宋体" w:cs="宋体"/>
          <w:bCs/>
          <w:color w:val="auto"/>
          <w:sz w:val="21"/>
          <w:szCs w:val="21"/>
          <w:lang w:val="en-US" w:eastAsia="zh-CN"/>
        </w:rPr>
        <w:t xml:space="preserve">7</w:t>
      </w:r>
      <w:r>
        <w:rPr>
          <w:rFonts w:hint="eastAsia" w:ascii="宋体" w:hAnsi="宋体" w:eastAsia="宋体" w:cs="宋体"/>
          <w:bCs/>
          <w:color w:val="auto"/>
          <w:sz w:val="21"/>
          <w:szCs w:val="21"/>
        </w:rPr>
        <w:t xml:space="preserve">泡沫系统：手动泡沫比例混合器，混合比例：3%，6%；</w:t>
      </w:r>
      <w:r/>
    </w:p>
    <w:p>
      <w:pPr>
        <w:pStyle w:val="719"/>
        <w:ind w:left="0" w:firstLine="0"/>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rPr>
        <w:t xml:space="preserve">5.消防罐</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5.1材料：优质碳钢罐；</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5.2载液量：≥水5500kg+≥泡沫1800kg；</w:t>
      </w:r>
      <w:r/>
    </w:p>
    <w:p>
      <w:pPr>
        <w:pStyle w:val="719"/>
        <w:ind w:left="0" w:firstLine="0"/>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color w:val="auto"/>
          <w:sz w:val="21"/>
          <w:szCs w:val="21"/>
        </w:rPr>
        <w:t xml:space="preserve">5.3罐体：罐体内防荡板网格式设置，设纵向、横向防荡板。</w:t>
      </w:r>
      <w:r>
        <w:rPr>
          <w:rFonts w:hint="eastAsia" w:ascii="宋体" w:hAnsi="宋体" w:eastAsia="宋体" w:cs="宋体"/>
          <w:bCs/>
          <w:color w:val="auto"/>
          <w:sz w:val="21"/>
          <w:szCs w:val="21"/>
        </w:rPr>
        <w:t xml:space="preserve">水罐及泡沫罐的罐顶设有直径450mm的人孔，加装快速开启/锁定装置的罐盖，罐底设排污口，配球阀。罐配有液位显示器；罐至泵吸水口处有滤网，方便清洁和维修。水罐注水设施：安装4个向水罐注水的进水管；1个水泵向水罐注水的管道，配有控制阀。泡沫罐：1个放泡沫阀门，1个可向罐内注泡沫的接口；</w:t>
      </w:r>
      <w:r/>
    </w:p>
    <w:p>
      <w:pPr>
        <w:pStyle w:val="719"/>
        <w:ind w:left="0" w:firstLine="0"/>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5.4消防管路：</w:t>
      </w:r>
      <w:r>
        <w:rPr>
          <w:rFonts w:hint="eastAsia" w:ascii="宋体" w:hAnsi="宋体" w:eastAsia="宋体" w:cs="宋体"/>
          <w:color w:val="auto"/>
          <w:sz w:val="21"/>
          <w:szCs w:val="21"/>
        </w:rPr>
        <w:t xml:space="preserve">铝合金管；</w:t>
      </w:r>
      <w:r/>
    </w:p>
    <w:p>
      <w:pPr>
        <w:pStyle w:val="953"/>
        <w:ind w:left="0" w:firstLine="0"/>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color w:val="auto"/>
          <w:sz w:val="21"/>
          <w:szCs w:val="21"/>
        </w:rPr>
        <w:t xml:space="preserve">6</w:t>
      </w: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rPr>
        <w:t xml:space="preserve">消防接口配置</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外吸水接口        </w:t>
      </w:r>
      <w:r>
        <w:rPr>
          <w:rFonts w:hint="eastAsia" w:ascii="宋体" w:hAnsi="宋体" w:eastAsia="宋体" w:cs="宋体"/>
          <w:color w:val="auto"/>
          <w:sz w:val="21"/>
          <w:szCs w:val="21"/>
          <w:lang w:val="en-US"/>
        </w:rPr>
        <w:t xml:space="preserve">1</w:t>
      </w:r>
      <w:r>
        <w:rPr>
          <w:rFonts w:hint="eastAsia" w:ascii="宋体" w:hAnsi="宋体" w:eastAsia="宋体" w:cs="宋体"/>
          <w:color w:val="auto"/>
          <w:sz w:val="21"/>
          <w:szCs w:val="21"/>
        </w:rPr>
        <w:t xml:space="preserve">×DN150     配闷盖     后侧</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出水接口          2×DN80   2×DN65     手动阀</w:t>
      </w:r>
      <w:r>
        <w:rPr>
          <w:rFonts w:hint="eastAsia" w:ascii="宋体" w:hAnsi="宋体" w:eastAsia="宋体" w:cs="宋体"/>
          <w:color w:val="auto"/>
          <w:sz w:val="21"/>
          <w:szCs w:val="21"/>
          <w:lang w:eastAsia="zh-CN"/>
        </w:rPr>
        <w:t xml:space="preserve">门</w:t>
      </w:r>
      <w:r>
        <w:rPr>
          <w:rFonts w:hint="eastAsia" w:ascii="宋体" w:hAnsi="宋体" w:eastAsia="宋体" w:cs="宋体"/>
          <w:color w:val="auto"/>
          <w:sz w:val="21"/>
          <w:szCs w:val="21"/>
        </w:rPr>
        <w:t xml:space="preserve">     两侧</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罐体注水接口      4×DN80     配接口闷盖   两侧</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泡沫罐外注泡沫接口/外吸泡沫接口  1×DN50  手动球阀配闷盖</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水罐排污接口      1×DN40    手动球阀</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泡沫排污口        1×DN50    手动球阀</w:t>
      </w:r>
      <w:r/>
    </w:p>
    <w:p>
      <w:pPr>
        <w:pStyle w:val="719"/>
        <w:ind w:left="0" w:firstLine="0"/>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7.电气、水路控制系统</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7.1警灯：驾驶室顶部安装长排警灯；驾驶室内安装警报器。</w:t>
      </w:r>
      <w:r/>
    </w:p>
    <w:p>
      <w:pPr>
        <w:pStyle w:val="952"/>
        <w:ind w:left="0" w:firstLine="0"/>
        <w:jc w:val="both"/>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7.2消防管路</w:t>
      </w:r>
      <w:r/>
    </w:p>
    <w:p>
      <w:pPr>
        <w:pStyle w:val="952"/>
        <w:ind w:left="0" w:firstLine="0"/>
        <w:jc w:val="both"/>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rPr>
        <w:t xml:space="preserve">7.2.1</w:t>
      </w:r>
      <w:r>
        <w:rPr>
          <w:rFonts w:hint="eastAsia" w:ascii="宋体" w:hAnsi="宋体" w:eastAsia="宋体" w:cs="宋体"/>
          <w:bCs/>
          <w:color w:val="auto"/>
          <w:sz w:val="21"/>
          <w:szCs w:val="21"/>
          <w:lang w:val="en-US" w:eastAsia="zh-CN"/>
        </w:rPr>
        <w:t xml:space="preserve">车体尾部设置</w:t>
      </w:r>
      <w:r>
        <w:rPr>
          <w:rFonts w:hint="eastAsia" w:ascii="宋体" w:hAnsi="宋体" w:eastAsia="宋体" w:cs="宋体"/>
          <w:bCs/>
          <w:color w:val="auto"/>
          <w:sz w:val="21"/>
          <w:szCs w:val="21"/>
        </w:rPr>
        <w:t xml:space="preserve">1个连接外吸水管的DN150的吸水口，带接口、闷盖。</w:t>
      </w:r>
      <w:r/>
    </w:p>
    <w:p>
      <w:pPr>
        <w:pStyle w:val="952"/>
        <w:ind w:left="0" w:firstLine="0"/>
        <w:jc w:val="both"/>
        <w:keepLines w:val="0"/>
        <w:keepNext w:val="0"/>
        <w:pageBreakBefore w:val="0"/>
        <w:spacing w:line="360" w:lineRule="auto"/>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val="en-US"/>
        </w:rPr>
        <w:t xml:space="preserve">7.2.2</w:t>
      </w:r>
      <w:r>
        <w:rPr>
          <w:rFonts w:hint="eastAsia" w:ascii="宋体" w:hAnsi="宋体" w:eastAsia="宋体" w:cs="宋体"/>
          <w:bCs/>
          <w:color w:val="auto"/>
          <w:sz w:val="21"/>
          <w:szCs w:val="21"/>
          <w:lang w:val="en-US" w:eastAsia="zh-CN"/>
        </w:rPr>
        <w:t xml:space="preserve">车辆设有</w:t>
      </w:r>
      <w:r>
        <w:rPr>
          <w:rFonts w:hint="eastAsia" w:ascii="宋体" w:hAnsi="宋体" w:eastAsia="宋体" w:cs="宋体"/>
          <w:bCs/>
          <w:color w:val="auto"/>
          <w:sz w:val="21"/>
          <w:szCs w:val="21"/>
        </w:rPr>
        <w:t xml:space="preserve">1个从水罐至水泵的进水管</w:t>
      </w:r>
      <w:r>
        <w:rPr>
          <w:rFonts w:hint="eastAsia" w:ascii="宋体" w:hAnsi="宋体" w:eastAsia="宋体" w:cs="宋体"/>
          <w:bCs/>
          <w:color w:val="auto"/>
          <w:sz w:val="21"/>
          <w:szCs w:val="21"/>
          <w:lang w:eastAsia="zh-CN"/>
        </w:rPr>
        <w:t xml:space="preserve">，</w:t>
      </w:r>
      <w:r>
        <w:rPr>
          <w:rFonts w:hint="eastAsia" w:ascii="宋体" w:hAnsi="宋体" w:eastAsia="宋体" w:cs="宋体"/>
          <w:bCs/>
          <w:color w:val="auto"/>
          <w:sz w:val="21"/>
          <w:szCs w:val="21"/>
        </w:rPr>
        <w:t xml:space="preserve">1个由水泵向水罐注水的管路</w:t>
      </w:r>
      <w:r>
        <w:rPr>
          <w:rFonts w:hint="eastAsia" w:ascii="宋体" w:hAnsi="宋体" w:eastAsia="宋体" w:cs="宋体"/>
          <w:bCs/>
          <w:color w:val="auto"/>
          <w:sz w:val="21"/>
          <w:szCs w:val="21"/>
          <w:lang w:eastAsia="zh-CN"/>
        </w:rPr>
        <w:t xml:space="preserve">；</w:t>
      </w:r>
      <w:r/>
    </w:p>
    <w:p>
      <w:pPr>
        <w:pStyle w:val="952"/>
        <w:ind w:left="0" w:firstLine="0"/>
        <w:jc w:val="both"/>
        <w:keepLines w:val="0"/>
        <w:keepNext w:val="0"/>
        <w:pageBreakBefore w:val="0"/>
        <w:spacing w:line="360" w:lineRule="auto"/>
        <w:rPr>
          <w:rFonts w:hint="eastAsia" w:ascii="宋体" w:hAnsi="宋体" w:eastAsia="宋体" w:cs="宋体"/>
          <w:bCs/>
          <w:color w:val="auto"/>
          <w:sz w:val="21"/>
          <w:szCs w:val="21"/>
          <w:lang w:eastAsia="zh-CN"/>
        </w:rPr>
      </w:pPr>
      <w:r>
        <w:rPr>
          <w:rFonts w:hint="eastAsia" w:ascii="宋体" w:hAnsi="宋体" w:eastAsia="宋体" w:cs="宋体"/>
          <w:bCs/>
          <w:color w:val="auto"/>
          <w:sz w:val="21"/>
          <w:szCs w:val="21"/>
          <w:lang w:val="en-US"/>
        </w:rPr>
        <w:t xml:space="preserve">7.2.3</w:t>
      </w:r>
      <w:r>
        <w:rPr>
          <w:rFonts w:hint="eastAsia" w:ascii="宋体" w:hAnsi="宋体" w:eastAsia="宋体" w:cs="宋体"/>
          <w:bCs/>
          <w:color w:val="auto"/>
          <w:sz w:val="21"/>
          <w:szCs w:val="21"/>
          <w:lang w:val="en-US" w:eastAsia="zh-CN"/>
        </w:rPr>
        <w:t xml:space="preserve">车辆设置有</w:t>
      </w:r>
      <w:r>
        <w:rPr>
          <w:rFonts w:hint="eastAsia" w:ascii="宋体" w:hAnsi="宋体" w:eastAsia="宋体" w:cs="宋体"/>
          <w:bCs/>
          <w:color w:val="auto"/>
          <w:sz w:val="21"/>
          <w:szCs w:val="21"/>
          <w:lang w:val="en-US"/>
        </w:rPr>
        <w:t xml:space="preserve">4</w:t>
      </w:r>
      <w:r>
        <w:rPr>
          <w:rFonts w:hint="eastAsia" w:ascii="宋体" w:hAnsi="宋体" w:eastAsia="宋体" w:cs="宋体"/>
          <w:bCs/>
          <w:color w:val="auto"/>
          <w:sz w:val="21"/>
          <w:szCs w:val="21"/>
          <w:lang w:val="en-US" w:eastAsia="zh-CN"/>
        </w:rPr>
        <w:t xml:space="preserve">个压力</w:t>
      </w:r>
      <w:r>
        <w:rPr>
          <w:rFonts w:hint="eastAsia" w:ascii="宋体" w:hAnsi="宋体" w:eastAsia="宋体" w:cs="宋体"/>
          <w:bCs/>
          <w:color w:val="auto"/>
          <w:sz w:val="21"/>
          <w:szCs w:val="21"/>
        </w:rPr>
        <w:t xml:space="preserve">出水口，配有出水口阀和接口及闷盖，</w:t>
      </w:r>
      <w:r>
        <w:rPr>
          <w:rFonts w:hint="eastAsia" w:ascii="宋体" w:hAnsi="宋体" w:eastAsia="宋体" w:cs="宋体"/>
          <w:bCs/>
          <w:color w:val="auto"/>
          <w:sz w:val="21"/>
          <w:szCs w:val="21"/>
          <w:lang w:eastAsia="zh-CN"/>
        </w:rPr>
        <w:t xml:space="preserve">均匀</w:t>
      </w:r>
      <w:r>
        <w:rPr>
          <w:rFonts w:hint="eastAsia" w:ascii="宋体" w:hAnsi="宋体" w:eastAsia="宋体" w:cs="宋体"/>
          <w:bCs/>
          <w:color w:val="auto"/>
          <w:sz w:val="21"/>
          <w:szCs w:val="21"/>
        </w:rPr>
        <w:t xml:space="preserve">分布在泵室左右两侧</w:t>
      </w:r>
      <w:r>
        <w:rPr>
          <w:rFonts w:hint="eastAsia" w:ascii="宋体" w:hAnsi="宋体" w:eastAsia="宋体" w:cs="宋体"/>
          <w:bCs/>
          <w:color w:val="auto"/>
          <w:sz w:val="21"/>
          <w:szCs w:val="21"/>
          <w:lang w:eastAsia="zh-CN"/>
        </w:rPr>
        <w:t xml:space="preserve">；</w:t>
      </w:r>
      <w:r/>
    </w:p>
    <w:p>
      <w:pPr>
        <w:pStyle w:val="952"/>
        <w:ind w:left="0" w:firstLine="0"/>
        <w:jc w:val="both"/>
        <w:keepLines w:val="0"/>
        <w:keepNext w:val="0"/>
        <w:pageBreakBefore w:val="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lang w:val="en-US"/>
        </w:rPr>
        <w:t xml:space="preserve">7.2.4</w:t>
      </w:r>
      <w:r>
        <w:rPr>
          <w:rFonts w:hint="eastAsia" w:ascii="宋体" w:hAnsi="宋体" w:eastAsia="宋体" w:cs="宋体"/>
          <w:bCs/>
          <w:color w:val="auto"/>
          <w:sz w:val="21"/>
          <w:szCs w:val="21"/>
          <w:lang w:val="en-US" w:eastAsia="zh-CN"/>
        </w:rPr>
        <w:t xml:space="preserve">车体左右两侧各设置2个DN80注水口，注水管路采用上翻式结构，满足罐体内部水不倒流，注水管路无存水</w:t>
      </w:r>
      <w:r>
        <w:rPr>
          <w:rFonts w:hint="eastAsia" w:ascii="宋体" w:hAnsi="宋体" w:eastAsia="宋体" w:cs="宋体"/>
          <w:bCs/>
          <w:color w:val="auto"/>
          <w:sz w:val="21"/>
          <w:szCs w:val="21"/>
        </w:rPr>
        <w:t xml:space="preserve">。</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7.3泵室操纵控制系统：</w:t>
      </w:r>
      <w:r>
        <w:rPr>
          <w:rFonts w:hint="eastAsia" w:ascii="宋体" w:hAnsi="宋体" w:eastAsia="宋体" w:cs="宋体"/>
          <w:bCs/>
          <w:color w:val="auto"/>
          <w:sz w:val="21"/>
          <w:szCs w:val="21"/>
        </w:rPr>
        <w:t xml:space="preserve">模块化操控面板，安装在车后部泵室内并设中文标识。设有便捷化操作按钮。</w:t>
      </w:r>
      <w:r/>
    </w:p>
    <w:p>
      <w:pPr>
        <w:pStyle w:val="719"/>
        <w:ind w:left="0" w:firstLine="0"/>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8.副车架、器材布置</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8.1材质：骨架为优质结构钢。</w:t>
      </w:r>
      <w:r>
        <w:rPr>
          <w:rFonts w:hint="eastAsia" w:ascii="宋体" w:hAnsi="宋体" w:eastAsia="宋体" w:cs="宋体"/>
          <w:color w:val="auto"/>
          <w:sz w:val="21"/>
          <w:szCs w:val="21"/>
          <w:highlight w:val="none"/>
        </w:rPr>
        <w:t xml:space="preserve">内饰板为氧化铝合金</w:t>
      </w:r>
      <w:r>
        <w:rPr>
          <w:rFonts w:hint="eastAsia" w:ascii="宋体" w:hAnsi="宋体" w:eastAsia="宋体" w:cs="宋体"/>
          <w:color w:val="auto"/>
          <w:sz w:val="21"/>
          <w:szCs w:val="21"/>
          <w:highlight w:val="none"/>
          <w:lang w:eastAsia="zh-CN"/>
        </w:rPr>
        <w:t xml:space="preserve">平</w:t>
      </w:r>
      <w:r>
        <w:rPr>
          <w:rFonts w:hint="eastAsia" w:ascii="宋体" w:hAnsi="宋体" w:eastAsia="宋体" w:cs="宋体"/>
          <w:color w:val="auto"/>
          <w:sz w:val="21"/>
          <w:szCs w:val="21"/>
          <w:highlight w:val="none"/>
        </w:rPr>
        <w:t xml:space="preserve">板</w:t>
      </w:r>
      <w:r>
        <w:rPr>
          <w:rFonts w:hint="eastAsia" w:ascii="宋体" w:hAnsi="宋体" w:eastAsia="宋体" w:cs="宋体"/>
          <w:color w:val="auto"/>
          <w:sz w:val="21"/>
          <w:szCs w:val="21"/>
        </w:rPr>
        <w:t xml:space="preserve">。</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8.2卷帘门：所有器材厢及泵室都采用带锁卷帘门</w:t>
      </w:r>
      <w:r>
        <w:rPr>
          <w:rFonts w:hint="eastAsia" w:ascii="宋体" w:hAnsi="宋体" w:eastAsia="宋体" w:cs="宋体"/>
          <w:color w:val="auto"/>
          <w:sz w:val="21"/>
          <w:szCs w:val="21"/>
          <w:lang w:eastAsia="zh-CN"/>
        </w:rPr>
        <w:t xml:space="preserve">，后尾可采用上翻式翻转门</w:t>
      </w:r>
      <w:r>
        <w:rPr>
          <w:rFonts w:hint="eastAsia" w:ascii="宋体" w:hAnsi="宋体" w:eastAsia="宋体" w:cs="宋体"/>
          <w:color w:val="auto"/>
          <w:sz w:val="21"/>
          <w:szCs w:val="21"/>
        </w:rPr>
        <w:t xml:space="preserve">。</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8.3翻板踏板：</w:t>
      </w:r>
      <w:r>
        <w:rPr>
          <w:rFonts w:hint="eastAsia" w:ascii="宋体" w:hAnsi="宋体" w:eastAsia="宋体" w:cs="宋体"/>
          <w:color w:val="auto"/>
          <w:sz w:val="21"/>
          <w:szCs w:val="21"/>
          <w:lang w:eastAsia="zh-CN"/>
        </w:rPr>
        <w:t xml:space="preserve">采用铝合金型材一体开模制造而成，表面设置有横向防滑凸棱，承重≥</w:t>
      </w:r>
      <w:r>
        <w:rPr>
          <w:rFonts w:hint="eastAsia" w:ascii="宋体" w:hAnsi="宋体" w:eastAsia="宋体" w:cs="宋体"/>
          <w:color w:val="auto"/>
          <w:sz w:val="21"/>
          <w:szCs w:val="21"/>
          <w:lang w:val="en-US" w:eastAsia="zh-CN"/>
        </w:rPr>
        <w:t xml:space="preserve">150kg，设置有双重锁紧机构</w:t>
      </w:r>
      <w:r>
        <w:rPr>
          <w:rFonts w:hint="eastAsia" w:ascii="宋体" w:hAnsi="宋体" w:eastAsia="宋体" w:cs="宋体"/>
          <w:color w:val="auto"/>
          <w:sz w:val="21"/>
          <w:szCs w:val="21"/>
        </w:rPr>
        <w:t xml:space="preserve">防止踏板受震动后自行翻转。</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8.4器材布置：厢体内部空间利用及器材布置原则：</w:t>
      </w:r>
      <w:r/>
    </w:p>
    <w:p>
      <w:pPr>
        <w:pStyle w:val="719"/>
        <w:ind w:left="0" w:firstLine="0"/>
        <w:keepLines w:val="0"/>
        <w:keepNext w:val="0"/>
        <w:pageBreakBefore w:val="0"/>
        <w:spacing w:line="360" w:lineRule="auto"/>
        <w:rPr>
          <w:rFonts w:hint="eastAsia" w:ascii="宋体" w:hAnsi="宋体" w:eastAsia="宋体" w:cs="宋体"/>
          <w:color w:val="auto"/>
          <w:sz w:val="21"/>
          <w:szCs w:val="21"/>
          <w:lang w:val="en-GB"/>
        </w:rPr>
      </w:pPr>
      <w:r>
        <w:rPr>
          <w:rFonts w:hint="eastAsia" w:ascii="宋体" w:hAnsi="宋体" w:eastAsia="宋体" w:cs="宋体"/>
          <w:color w:val="auto"/>
          <w:sz w:val="21"/>
          <w:szCs w:val="21"/>
          <w:lang w:val="en-GB"/>
        </w:rPr>
        <w:t xml:space="preserve">(1)所有器材放置确保战斗展开时队员互不干涉；</w:t>
      </w:r>
      <w:r/>
    </w:p>
    <w:p>
      <w:pPr>
        <w:pStyle w:val="719"/>
        <w:ind w:left="0" w:firstLine="0"/>
        <w:keepLines w:val="0"/>
        <w:keepNext w:val="0"/>
        <w:pageBreakBefore w:val="0"/>
        <w:spacing w:line="360" w:lineRule="auto"/>
        <w:rPr>
          <w:rFonts w:hint="eastAsia" w:ascii="宋体" w:hAnsi="宋体" w:eastAsia="宋体" w:cs="宋体"/>
          <w:color w:val="auto"/>
          <w:sz w:val="21"/>
          <w:szCs w:val="21"/>
          <w:lang w:val="en-GB"/>
        </w:rPr>
      </w:pPr>
      <w:r>
        <w:rPr>
          <w:rFonts w:hint="eastAsia" w:ascii="宋体" w:hAnsi="宋体" w:eastAsia="宋体" w:cs="宋体"/>
          <w:color w:val="auto"/>
          <w:sz w:val="21"/>
          <w:szCs w:val="21"/>
          <w:lang w:val="en-GB"/>
        </w:rPr>
        <w:t xml:space="preserve">(2)按照使用频率和器材重量及外形放置器材；</w:t>
      </w:r>
      <w:r/>
    </w:p>
    <w:p>
      <w:pPr>
        <w:pStyle w:val="719"/>
        <w:ind w:left="0" w:firstLine="0"/>
        <w:keepLines w:val="0"/>
        <w:keepNext w:val="0"/>
        <w:pageBreakBefore w:val="0"/>
        <w:spacing w:line="360" w:lineRule="auto"/>
        <w:rPr>
          <w:rFonts w:hint="eastAsia" w:ascii="宋体" w:hAnsi="宋体" w:eastAsia="宋体" w:cs="宋体"/>
          <w:color w:val="auto"/>
          <w:sz w:val="21"/>
          <w:szCs w:val="21"/>
          <w:lang w:val="en-GB"/>
        </w:rPr>
      </w:pPr>
      <w:r>
        <w:rPr>
          <w:rFonts w:hint="eastAsia" w:ascii="宋体" w:hAnsi="宋体" w:eastAsia="宋体" w:cs="宋体"/>
          <w:color w:val="auto"/>
          <w:sz w:val="21"/>
          <w:szCs w:val="21"/>
          <w:lang w:val="en-GB"/>
        </w:rPr>
        <w:t xml:space="preserve">(3)按照战斗编成和器材使用逻辑关系放置器材；</w:t>
      </w:r>
      <w:r/>
    </w:p>
    <w:p>
      <w:pPr>
        <w:pStyle w:val="719"/>
        <w:ind w:left="0" w:firstLine="0"/>
        <w:keepLines w:val="0"/>
        <w:keepNext w:val="0"/>
        <w:pageBreakBefore w:val="0"/>
        <w:spacing w:line="360" w:lineRule="auto"/>
        <w:rPr>
          <w:rFonts w:hint="eastAsia" w:ascii="宋体" w:hAnsi="宋体" w:eastAsia="宋体" w:cs="宋体"/>
          <w:color w:val="auto"/>
          <w:sz w:val="21"/>
          <w:szCs w:val="21"/>
          <w:lang w:val="en-GB"/>
        </w:rPr>
      </w:pPr>
      <w:r>
        <w:rPr>
          <w:rFonts w:hint="eastAsia" w:ascii="宋体" w:hAnsi="宋体" w:eastAsia="宋体" w:cs="宋体"/>
          <w:color w:val="auto"/>
          <w:sz w:val="21"/>
          <w:szCs w:val="21"/>
          <w:lang w:val="en-GB"/>
        </w:rPr>
        <w:t xml:space="preserve">(4)按照人体行为科学放置器材。</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GB"/>
        </w:rPr>
        <w:t xml:space="preserve">8.5</w:t>
      </w:r>
      <w:r>
        <w:rPr>
          <w:rFonts w:hint="eastAsia" w:ascii="宋体" w:hAnsi="宋体" w:eastAsia="宋体" w:cs="宋体"/>
          <w:color w:val="auto"/>
          <w:sz w:val="21"/>
          <w:szCs w:val="21"/>
        </w:rPr>
        <w:t xml:space="preserve">采用贯通式副车架设计技术，提高整车稳定性和使用寿命，增大维修空间，使车辆易于维护保养。</w:t>
      </w:r>
      <w:r/>
    </w:p>
    <w:p>
      <w:pPr>
        <w:pStyle w:val="719"/>
        <w:numPr>
          <w:ilvl w:val="0"/>
          <w:numId w:val="2"/>
        </w:numPr>
        <w:ind w:left="0" w:firstLine="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电气控制系统参数：</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9.1泵室操纵控制系统：模块化操控面板；安装在车后部泵室内并设中文标识。</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9.2警报器及警灯：:驾驶室内安装100w警报器及扩音装置；驾驶室顶部前端安装1.8m长排专用红色频闪警灯；车身两侧装有爆闪警示灯。</w:t>
      </w:r>
      <w:r/>
    </w:p>
    <w:p>
      <w:pPr>
        <w:pStyle w:val="719"/>
        <w:ind w:left="0" w:firstLine="0"/>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9.3标志灯及照明灯：:车体装有两侧安全侧标志灯、后示廓灯、黄色转向灯；泵室、器材箱内均有照明灯；车体侧部及尾部均设有外部照明灯，保障夜间作业。</w:t>
      </w:r>
      <w:r/>
    </w:p>
    <w:p>
      <w:pPr>
        <w:pStyle w:val="719"/>
        <w:ind w:left="0" w:firstLine="0"/>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★9.4其它配置：配备自</w:t>
      </w:r>
      <w:r>
        <w:rPr>
          <w:rFonts w:hint="eastAsia" w:ascii="宋体" w:hAnsi="宋体" w:eastAsia="宋体" w:cs="宋体"/>
          <w:bCs/>
          <w:color w:val="auto"/>
          <w:sz w:val="21"/>
          <w:szCs w:val="21"/>
        </w:rPr>
        <w:t xml:space="preserve">动脱离充电装置、倒车影像、导航、行车记录仪。</w:t>
      </w:r>
      <w:r/>
    </w:p>
    <w:p>
      <w:pPr>
        <w:pStyle w:val="719"/>
        <w:ind w:left="0" w:firstLine="0"/>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p>
      <w:pPr>
        <w:pStyle w:val="719"/>
        <w:numPr>
          <w:ilvl w:val="0"/>
          <w:numId w:val="2"/>
        </w:numPr>
        <w:ind w:left="0" w:firstLine="0"/>
        <w:jc w:val="both"/>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随车消防器材</w:t>
      </w:r>
      <w:r/>
    </w:p>
    <w:tbl>
      <w:tblPr>
        <w:tblStyle w:val="708"/>
        <w:tblW w:w="5164" w:type="pct"/>
        <w:jc w:val="center"/>
        <w:shd w:val="clear" w:color="auto" w:fill="auto"/>
        <w:tblLayout w:type="autofit"/>
        <w:tblCellMar>
          <w:left w:w="0" w:type="dxa"/>
          <w:top w:w="0" w:type="dxa"/>
          <w:right w:w="0" w:type="dxa"/>
          <w:bottom w:w="0" w:type="dxa"/>
        </w:tblCellMar>
        <w:tblLook w:val="04A0" w:firstRow="1" w:lastRow="0" w:firstColumn="1" w:lastColumn="0" w:noHBand="0" w:noVBand="1"/>
      </w:tblPr>
      <w:tblGrid>
        <w:gridCol w:w="907"/>
        <w:gridCol w:w="5122"/>
        <w:gridCol w:w="1570"/>
        <w:gridCol w:w="1319"/>
        <w:gridCol w:w="1158"/>
      </w:tblGrid>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名称规格与型号</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备注</w:t>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卡式消防水带 16-80-20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16-65-20 卡式消防水带</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直流开关水枪 QZG3.5/7.5</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导流式直流喷雾水枪 QLD6.0/8I</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泡沫管枪 QP8/0.7Z(DN65卡式接口）</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KXK65(内扣)/80(雌) 异型接口</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KJK80(雄)/65(雌) 中压卡式异径接口</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FJ150雄/80雄×2-1.6 二集水器</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FIII80雄/65雌×3-2.5 三分水器</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吸水管扳手 FS150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勾头扳手 78-85</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橡皮锤JFRC-12</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地上消防栓扳手 FS450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地下消防栓扳手 FBX800</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rPr>
              <w:t xml:space="preserve">1</w:t>
            </w:r>
            <w:r>
              <w:rPr>
                <w:rFonts w:hint="eastAsia" w:ascii="宋体" w:hAnsi="宋体" w:eastAsia="宋体" w:cs="宋体"/>
                <w:b/>
                <w:color w:val="auto"/>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水带护桥</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rPr>
              <w:t xml:space="preserve">1</w:t>
            </w:r>
            <w:r>
              <w:rPr>
                <w:rFonts w:hint="eastAsia" w:ascii="宋体" w:hAnsi="宋体" w:eastAsia="宋体" w:cs="宋体"/>
                <w:b/>
                <w:color w:val="auto"/>
                <w:sz w:val="21"/>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水带包布</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rPr>
              <w:t xml:space="preserve">1</w:t>
            </w:r>
            <w:r>
              <w:rPr>
                <w:rFonts w:hint="eastAsia" w:ascii="宋体" w:hAnsi="宋体" w:eastAsia="宋体" w:cs="宋体"/>
                <w:b/>
                <w:color w:val="auto"/>
                <w:sz w:val="21"/>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水带挂钩</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rPr>
              <w:t xml:space="preserve">1</w:t>
            </w:r>
            <w:r>
              <w:rPr>
                <w:rFonts w:hint="eastAsia" w:ascii="宋体" w:hAnsi="宋体" w:eastAsia="宋体" w:cs="宋体"/>
                <w:b/>
                <w:color w:val="auto"/>
                <w:sz w:val="21"/>
                <w:szCs w:val="21"/>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消防尖斧GFJ815</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φ150×2000 吸水管</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rPr>
              <w:t xml:space="preserve">2</w:t>
            </w:r>
            <w:r>
              <w:rPr>
                <w:rFonts w:hint="eastAsia" w:ascii="宋体" w:hAnsi="宋体" w:eastAsia="宋体" w:cs="宋体"/>
                <w:b/>
                <w:color w:val="auto"/>
                <w:sz w:val="21"/>
                <w:szCs w:val="21"/>
                <w:lang w:val="en-US" w:eastAsia="zh-CN"/>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150 滤水器接口</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rPr>
              <w:t xml:space="preserve">2</w:t>
            </w:r>
            <w:r>
              <w:rPr>
                <w:rFonts w:hint="eastAsia" w:ascii="宋体" w:hAnsi="宋体" w:eastAsia="宋体" w:cs="宋体"/>
                <w:b/>
                <w:color w:val="auto"/>
                <w:sz w:val="21"/>
                <w:szCs w:val="21"/>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150 滤水器</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rPr>
              <w:t xml:space="preserve">2</w:t>
            </w:r>
            <w:r>
              <w:rPr>
                <w:rFonts w:hint="eastAsia" w:ascii="宋体" w:hAnsi="宋体" w:eastAsia="宋体" w:cs="宋体"/>
                <w:b/>
                <w:color w:val="auto"/>
                <w:sz w:val="21"/>
                <w:szCs w:val="21"/>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150 雄螺环</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rPr>
              <w:t xml:space="preserve">2</w:t>
            </w:r>
            <w:r>
              <w:rPr>
                <w:rFonts w:hint="eastAsia" w:ascii="宋体" w:hAnsi="宋体" w:eastAsia="宋体" w:cs="宋体"/>
                <w:b/>
                <w:color w:val="auto"/>
                <w:sz w:val="21"/>
                <w:szCs w:val="21"/>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内六角扳手3-17</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rPr>
              <w:t xml:space="preserve">2</w:t>
            </w:r>
            <w:r>
              <w:rPr>
                <w:rFonts w:hint="eastAsia" w:ascii="宋体" w:hAnsi="宋体" w:eastAsia="宋体" w:cs="宋体"/>
                <w:b/>
                <w:color w:val="auto"/>
                <w:sz w:val="21"/>
                <w:szCs w:val="21"/>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活扳手 6寸</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rPr>
              <w:t xml:space="preserve">2</w:t>
            </w:r>
            <w:r>
              <w:rPr>
                <w:rFonts w:hint="eastAsia" w:ascii="宋体" w:hAnsi="宋体" w:eastAsia="宋体" w:cs="宋体"/>
                <w:b/>
                <w:color w:val="auto"/>
                <w:sz w:val="21"/>
                <w:szCs w:val="21"/>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活扳手 12寸</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rPr>
              <w:t xml:space="preserve">2</w:t>
            </w:r>
            <w:r>
              <w:rPr>
                <w:rFonts w:hint="eastAsia" w:ascii="宋体" w:hAnsi="宋体" w:eastAsia="宋体" w:cs="宋体"/>
                <w:b/>
                <w:color w:val="auto"/>
                <w:sz w:val="21"/>
                <w:szCs w:val="21"/>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一字形螺丝刀 150×6</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rPr>
              <w:t xml:space="preserve">2</w:t>
            </w:r>
            <w:r>
              <w:rPr>
                <w:rFonts w:hint="eastAsia" w:ascii="宋体" w:hAnsi="宋体" w:eastAsia="宋体" w:cs="宋体"/>
                <w:b/>
                <w:color w:val="auto"/>
                <w:sz w:val="21"/>
                <w:szCs w:val="21"/>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十字形螺丝刀 150×6</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jc w:val="center"/>
          <w:trHeight w:val="35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361"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鲤鱼钳 8寸</w:t>
            </w:r>
            <w:r/>
          </w:p>
        </w:tc>
        <w:tc>
          <w:tcPr>
            <w:shd w:val="clear" w:color="auto" w:fill="auto"/>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top"/>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bl>
    <w:p>
      <w:pPr>
        <w:pStyle w:val="719"/>
        <w:ind w:left="0" w:firstLine="0"/>
        <w:keepLines w:val="0"/>
        <w:keepNext w:val="0"/>
        <w:pageBreakBefore w:val="0"/>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11.消防车装箱单</w:t>
      </w:r>
      <w:r/>
    </w:p>
    <w:tbl>
      <w:tblPr>
        <w:tblStyle w:val="70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20"/>
        <w:gridCol w:w="4516"/>
        <w:gridCol w:w="1024"/>
        <w:gridCol w:w="1008"/>
        <w:gridCol w:w="2294"/>
      </w:tblGrid>
      <w:tr>
        <w:trPr>
          <w:trHeight w:val="454"/>
        </w:trPr>
        <w:tc>
          <w:tcPr>
            <w:shd w:val="clear" w:color="auto" w:fill="auto"/>
            <w:tcW w:w="959"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序号</w:t>
            </w:r>
            <w:r/>
          </w:p>
        </w:tc>
        <w:tc>
          <w:tcPr>
            <w:shd w:val="clear" w:color="auto" w:fill="auto"/>
            <w:tcW w:w="3863"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名  称</w:t>
            </w:r>
            <w:r/>
          </w:p>
        </w:tc>
        <w:tc>
          <w:tcPr>
            <w:shd w:val="clear" w:color="auto" w:fill="auto"/>
            <w:tcW w:w="876"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单位</w:t>
            </w:r>
            <w:r/>
          </w:p>
        </w:tc>
        <w:tc>
          <w:tcPr>
            <w:shd w:val="clear" w:color="auto" w:fill="auto"/>
            <w:tcW w:w="86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数量</w:t>
            </w:r>
            <w:r/>
          </w:p>
        </w:tc>
        <w:tc>
          <w:tcPr>
            <w:shd w:val="clear" w:color="auto" w:fill="auto"/>
            <w:tcW w:w="196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备注</w:t>
            </w:r>
            <w:r/>
          </w:p>
        </w:tc>
      </w:tr>
      <w:tr>
        <w:trPr>
          <w:trHeight w:val="558"/>
        </w:trPr>
        <w:tc>
          <w:tcPr>
            <w:shd w:val="clear" w:color="auto" w:fill="auto"/>
            <w:tcW w:w="959"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1</w:t>
            </w:r>
            <w:r/>
          </w:p>
        </w:tc>
        <w:tc>
          <w:tcPr>
            <w:shd w:val="clear" w:color="auto" w:fill="auto"/>
            <w:tcW w:w="3863" w:type="dxa"/>
            <w:vAlign w:val="center"/>
            <w:textDirection w:val="lrTb"/>
            <w:noWrap w:val="false"/>
          </w:tcPr>
          <w:p>
            <w:pPr>
              <w:pStyle w:val="954"/>
              <w:ind w:left="0" w:firstLine="0"/>
              <w:jc w:val="center"/>
              <w:keepLines w:val="0"/>
              <w:keepNext w:val="0"/>
              <w:pageBreakBefore w:val="0"/>
              <w:spacing w:before="0" w:after="0"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产品合格证</w:t>
            </w:r>
            <w:r/>
          </w:p>
        </w:tc>
        <w:tc>
          <w:tcPr>
            <w:shd w:val="clear" w:color="auto" w:fill="auto"/>
            <w:tcW w:w="876"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份</w:t>
            </w:r>
            <w:r/>
          </w:p>
        </w:tc>
        <w:tc>
          <w:tcPr>
            <w:shd w:val="clear" w:color="auto" w:fill="auto"/>
            <w:tcW w:w="86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W w:w="196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shd w:val="clear" w:color="auto" w:fill="auto"/>
            <w:tcW w:w="959"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2</w:t>
            </w:r>
            <w:r/>
          </w:p>
        </w:tc>
        <w:tc>
          <w:tcPr>
            <w:shd w:val="clear" w:color="auto" w:fill="auto"/>
            <w:tcW w:w="3863" w:type="dxa"/>
            <w:vAlign w:val="center"/>
            <w:textDirection w:val="lrTb"/>
            <w:noWrap w:val="false"/>
          </w:tcPr>
          <w:p>
            <w:pPr>
              <w:pStyle w:val="954"/>
              <w:ind w:left="0" w:firstLine="0"/>
              <w:jc w:val="center"/>
              <w:keepLines w:val="0"/>
              <w:keepNext w:val="0"/>
              <w:pageBreakBefore w:val="0"/>
              <w:spacing w:before="0" w:after="0"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操作/维修手册</w:t>
            </w:r>
            <w:r/>
          </w:p>
        </w:tc>
        <w:tc>
          <w:tcPr>
            <w:shd w:val="clear" w:color="auto" w:fill="auto"/>
            <w:tcW w:w="876"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册</w:t>
            </w:r>
            <w:r/>
          </w:p>
        </w:tc>
        <w:tc>
          <w:tcPr>
            <w:shd w:val="clear" w:color="auto" w:fill="auto"/>
            <w:tcW w:w="86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W w:w="196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shd w:val="clear" w:color="auto" w:fill="auto"/>
            <w:tcW w:w="959"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3</w:t>
            </w:r>
            <w:r/>
          </w:p>
        </w:tc>
        <w:tc>
          <w:tcPr>
            <w:shd w:val="clear" w:color="auto" w:fill="auto"/>
            <w:tcW w:w="3863" w:type="dxa"/>
            <w:vAlign w:val="center"/>
            <w:textDirection w:val="lrTb"/>
            <w:noWrap w:val="false"/>
          </w:tcPr>
          <w:p>
            <w:pPr>
              <w:pStyle w:val="954"/>
              <w:ind w:left="0" w:firstLine="0"/>
              <w:jc w:val="center"/>
              <w:keepLines w:val="0"/>
              <w:keepNext w:val="0"/>
              <w:pageBreakBefore w:val="0"/>
              <w:spacing w:before="0" w:after="0"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零部件图册</w:t>
            </w:r>
            <w:r/>
          </w:p>
        </w:tc>
        <w:tc>
          <w:tcPr>
            <w:shd w:val="clear" w:color="auto" w:fill="auto"/>
            <w:tcW w:w="876"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册</w:t>
            </w:r>
            <w:r/>
          </w:p>
        </w:tc>
        <w:tc>
          <w:tcPr>
            <w:shd w:val="clear" w:color="auto" w:fill="auto"/>
            <w:tcW w:w="86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W w:w="196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397"/>
        </w:trPr>
        <w:tc>
          <w:tcPr>
            <w:shd w:val="clear" w:color="auto" w:fill="auto"/>
            <w:tcW w:w="959"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4</w:t>
            </w:r>
            <w:r/>
          </w:p>
        </w:tc>
        <w:tc>
          <w:tcPr>
            <w:shd w:val="clear" w:color="auto" w:fill="auto"/>
            <w:tcW w:w="3863" w:type="dxa"/>
            <w:vAlign w:val="center"/>
            <w:textDirection w:val="lrTb"/>
            <w:noWrap w:val="false"/>
          </w:tcPr>
          <w:p>
            <w:pPr>
              <w:pStyle w:val="954"/>
              <w:ind w:left="0" w:firstLine="0"/>
              <w:jc w:val="center"/>
              <w:keepLines w:val="0"/>
              <w:keepNext w:val="0"/>
              <w:pageBreakBefore w:val="0"/>
              <w:spacing w:before="0"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消防炮使用说明书</w:t>
            </w:r>
            <w:r/>
          </w:p>
        </w:tc>
        <w:tc>
          <w:tcPr>
            <w:shd w:val="clear" w:color="auto" w:fill="auto"/>
            <w:tcW w:w="876"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份</w:t>
            </w:r>
            <w:r/>
          </w:p>
        </w:tc>
        <w:tc>
          <w:tcPr>
            <w:shd w:val="clear" w:color="auto" w:fill="auto"/>
            <w:tcW w:w="86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W w:w="1962" w:type="dxa"/>
            <w:vAlign w:val="center"/>
            <w:textDirection w:val="lrTb"/>
            <w:noWrap w:val="false"/>
          </w:tcPr>
          <w:p>
            <w:pPr>
              <w:pStyle w:val="954"/>
              <w:ind w:left="0" w:firstLine="0"/>
              <w:jc w:val="center"/>
              <w:keepLines w:val="0"/>
              <w:keepNext w:val="0"/>
              <w:pageBreakBefore w:val="0"/>
              <w:spacing w:before="0"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采购件自带</w:t>
            </w:r>
            <w:r/>
          </w:p>
        </w:tc>
      </w:tr>
      <w:tr>
        <w:trPr>
          <w:trHeight w:val="397"/>
        </w:trPr>
        <w:tc>
          <w:tcPr>
            <w:shd w:val="clear" w:color="auto" w:fill="auto"/>
            <w:tcW w:w="959"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5</w:t>
            </w:r>
            <w:r/>
          </w:p>
        </w:tc>
        <w:tc>
          <w:tcPr>
            <w:shd w:val="clear" w:color="auto" w:fill="auto"/>
            <w:tcW w:w="3863" w:type="dxa"/>
            <w:vAlign w:val="center"/>
            <w:textDirection w:val="lrTb"/>
            <w:noWrap w:val="false"/>
          </w:tcPr>
          <w:p>
            <w:pPr>
              <w:pStyle w:val="954"/>
              <w:ind w:left="0" w:firstLine="0"/>
              <w:jc w:val="center"/>
              <w:keepLines w:val="0"/>
              <w:keepNext w:val="0"/>
              <w:pageBreakBefore w:val="0"/>
              <w:spacing w:before="0"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消防泵使用说明书</w:t>
            </w:r>
            <w:r/>
          </w:p>
        </w:tc>
        <w:tc>
          <w:tcPr>
            <w:shd w:val="clear" w:color="auto" w:fill="auto"/>
            <w:tcW w:w="876"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份</w:t>
            </w:r>
            <w:r/>
          </w:p>
        </w:tc>
        <w:tc>
          <w:tcPr>
            <w:shd w:val="clear" w:color="auto" w:fill="auto"/>
            <w:tcW w:w="86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W w:w="1962" w:type="dxa"/>
            <w:vAlign w:val="center"/>
            <w:textDirection w:val="lrTb"/>
            <w:noWrap w:val="false"/>
          </w:tcPr>
          <w:p>
            <w:pPr>
              <w:pStyle w:val="954"/>
              <w:ind w:left="0" w:firstLine="0"/>
              <w:jc w:val="center"/>
              <w:keepLines w:val="0"/>
              <w:keepNext w:val="0"/>
              <w:pageBreakBefore w:val="0"/>
              <w:spacing w:before="0"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采购件自带</w:t>
            </w:r>
            <w:r/>
          </w:p>
        </w:tc>
      </w:tr>
      <w:tr>
        <w:trPr>
          <w:trHeight w:val="397"/>
        </w:trPr>
        <w:tc>
          <w:tcPr>
            <w:shd w:val="clear" w:color="auto" w:fill="auto"/>
            <w:tcW w:w="959"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6</w:t>
            </w:r>
            <w:r/>
          </w:p>
        </w:tc>
        <w:tc>
          <w:tcPr>
            <w:shd w:val="clear" w:color="auto" w:fill="auto"/>
            <w:tcW w:w="3863" w:type="dxa"/>
            <w:vAlign w:val="center"/>
            <w:textDirection w:val="lrTb"/>
            <w:noWrap w:val="false"/>
          </w:tcPr>
          <w:p>
            <w:pPr>
              <w:pStyle w:val="954"/>
              <w:ind w:left="0" w:firstLine="0"/>
              <w:jc w:val="center"/>
              <w:keepLines w:val="0"/>
              <w:keepNext w:val="0"/>
              <w:pageBreakBefore w:val="0"/>
              <w:spacing w:before="0" w:after="0" w:line="360" w:lineRule="auto"/>
              <w:rPr>
                <w:rFonts w:hint="eastAsia" w:ascii="宋体" w:hAnsi="宋体" w:eastAsia="宋体" w:cs="宋体"/>
                <w:b/>
                <w:color w:val="auto"/>
                <w:spacing w:val="-40"/>
                <w:sz w:val="21"/>
                <w:szCs w:val="21"/>
              </w:rPr>
            </w:pPr>
            <w:r>
              <w:rPr>
                <w:rFonts w:hint="eastAsia" w:ascii="宋体" w:hAnsi="宋体" w:eastAsia="宋体" w:cs="宋体"/>
                <w:color w:val="auto"/>
                <w:sz w:val="21"/>
                <w:szCs w:val="21"/>
              </w:rPr>
              <w:t xml:space="preserve">底盘所规定的文件</w:t>
            </w:r>
            <w:r/>
          </w:p>
        </w:tc>
        <w:tc>
          <w:tcPr>
            <w:shd w:val="clear" w:color="auto" w:fill="auto"/>
            <w:tcW w:w="876"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b/>
                <w:color w:val="auto"/>
                <w:sz w:val="21"/>
                <w:szCs w:val="21"/>
              </w:rPr>
            </w:pPr>
            <w:r>
              <w:rPr>
                <w:rFonts w:hint="eastAsia" w:ascii="宋体" w:hAnsi="宋体" w:eastAsia="宋体" w:cs="宋体"/>
                <w:color w:val="auto"/>
                <w:sz w:val="21"/>
                <w:szCs w:val="21"/>
              </w:rPr>
              <w:t xml:space="preserve">份</w:t>
            </w:r>
            <w:r/>
          </w:p>
        </w:tc>
        <w:tc>
          <w:tcPr>
            <w:shd w:val="clear" w:color="auto" w:fill="auto"/>
            <w:tcW w:w="862" w:type="dxa"/>
            <w:vAlign w:val="center"/>
            <w:textDirection w:val="lrTb"/>
            <w:noWrap w:val="false"/>
          </w:tcPr>
          <w:p>
            <w:pPr>
              <w:pStyle w:val="719"/>
              <w:ind w:left="0" w:firstLine="0"/>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shd w:val="clear" w:color="auto" w:fill="auto"/>
            <w:tcW w:w="1962" w:type="dxa"/>
            <w:vAlign w:val="center"/>
            <w:textDirection w:val="lrTb"/>
            <w:noWrap w:val="false"/>
          </w:tcPr>
          <w:p>
            <w:pPr>
              <w:pStyle w:val="954"/>
              <w:ind w:left="0" w:firstLine="0"/>
              <w:jc w:val="center"/>
              <w:keepLines w:val="0"/>
              <w:keepNext w:val="0"/>
              <w:pageBreakBefore w:val="0"/>
              <w:spacing w:before="0"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按原包装</w:t>
            </w:r>
            <w:r/>
          </w:p>
        </w:tc>
      </w:tr>
    </w:tbl>
    <w:p>
      <w:pPr>
        <w:pStyle w:val="719"/>
        <w:spacing w:line="360" w:lineRule="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pStyle w:val="719"/>
        <w:ind w:firstLine="482"/>
        <w:spacing w:line="360" w:lineRule="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4吨水罐消防车，数量：一辆  </w:t>
      </w:r>
      <w:r/>
    </w:p>
    <w:p>
      <w:pPr>
        <w:ind w:left="0" w:right="0" w:firstLine="0"/>
        <w:keepLines w:val="0"/>
        <w:keepNext w:val="0"/>
        <w:pageBreakBefore w:val="0"/>
        <w:spacing w:line="360" w:lineRule="auto"/>
        <w:widowControl w:val="off"/>
        <w:rPr>
          <w:rFonts w:hint="eastAsia" w:ascii="宋体" w:hAnsi="宋体" w:eastAsia="宋体" w:cs="宋体"/>
          <w:b/>
          <w:bCs w:val="0"/>
          <w:sz w:val="21"/>
          <w:szCs w:val="21"/>
          <w:lang w:val="en-US" w:eastAsia="zh-CN" w:bidi="ar-SA"/>
        </w:rPr>
      </w:pPr>
      <w:r>
        <w:rPr>
          <w:rFonts w:hint="eastAsia" w:ascii="宋体" w:hAnsi="宋体" w:eastAsia="宋体" w:cs="宋体"/>
          <w:b/>
          <w:bCs w:val="0"/>
          <w:sz w:val="21"/>
          <w:szCs w:val="21"/>
          <w:lang w:val="en-US" w:eastAsia="zh-CN" w:bidi="ar-SA"/>
        </w:rPr>
        <w:t xml:space="preserve">1.1总体要求</w:t>
      </w:r>
      <w:r/>
    </w:p>
    <w:p>
      <w:pPr>
        <w:ind w:left="0" w:right="0" w:firstLine="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1.1.1</w:t>
      </w:r>
      <w:r>
        <w:rPr>
          <w:rFonts w:hint="eastAsia" w:ascii="宋体" w:hAnsi="宋体" w:eastAsia="宋体" w:cs="宋体"/>
          <w:sz w:val="21"/>
          <w:szCs w:val="21"/>
          <w:lang w:val="en-US"/>
        </w:rPr>
        <w:t xml:space="preserve"> </w:t>
      </w:r>
      <w:r>
        <w:rPr>
          <w:rFonts w:hint="eastAsia" w:ascii="宋体" w:hAnsi="宋体" w:eastAsia="宋体" w:cs="宋体"/>
          <w:sz w:val="21"/>
          <w:szCs w:val="21"/>
          <w:lang w:val="en-US" w:eastAsia="zh-CN"/>
        </w:rPr>
        <w:t xml:space="preserve">▲驾驶室准乘人数</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3+3</w:t>
      </w:r>
      <w:r>
        <w:rPr>
          <w:rFonts w:hint="eastAsia" w:ascii="宋体" w:hAnsi="宋体" w:eastAsia="宋体" w:cs="宋体"/>
          <w:sz w:val="21"/>
          <w:szCs w:val="21"/>
          <w:lang w:val="en-US" w:eastAsia="zh-CN"/>
        </w:rPr>
        <w:t xml:space="preserve">人</w:t>
      </w:r>
      <w:r/>
    </w:p>
    <w:p>
      <w:pPr>
        <w:ind w:left="0" w:righ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1.1.2国六底盘；</w:t>
      </w:r>
      <w:r/>
    </w:p>
    <w:p>
      <w:pPr>
        <w:ind w:left="0" w:righ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1.1.3</w:t>
      </w:r>
      <w:r>
        <w:rPr>
          <w:rFonts w:hint="eastAsia" w:ascii="宋体" w:hAnsi="宋体" w:eastAsia="宋体" w:cs="宋体"/>
          <w:sz w:val="21"/>
          <w:szCs w:val="21"/>
          <w:lang w:val="en-US"/>
        </w:rPr>
        <w:t xml:space="preserve"> </w:t>
      </w:r>
      <w:r>
        <w:rPr>
          <w:rFonts w:hint="eastAsia" w:ascii="宋体" w:hAnsi="宋体" w:eastAsia="宋体" w:cs="宋体"/>
          <w:sz w:val="21"/>
          <w:szCs w:val="21"/>
          <w:lang w:val="en-US" w:eastAsia="zh-CN"/>
        </w:rPr>
        <w:t xml:space="preserve">满载质量</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rPr>
        <w:t xml:space="preserve">11000kg</w:t>
      </w:r>
      <w:r>
        <w:rPr>
          <w:rFonts w:hint="eastAsia" w:ascii="宋体" w:hAnsi="宋体" w:eastAsia="宋体" w:cs="宋体"/>
          <w:sz w:val="21"/>
          <w:szCs w:val="21"/>
        </w:rPr>
        <w:t xml:space="preserve">；</w:t>
      </w:r>
      <w:r/>
    </w:p>
    <w:p>
      <w:pPr>
        <w:ind w:left="0" w:righ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1.1.4</w:t>
      </w:r>
      <w:r>
        <w:rPr>
          <w:rFonts w:hint="eastAsia" w:ascii="宋体" w:hAnsi="宋体" w:eastAsia="宋体" w:cs="宋体"/>
          <w:sz w:val="21"/>
          <w:szCs w:val="21"/>
          <w:lang w:val="en-US"/>
        </w:rPr>
        <w:t xml:space="preserve"> </w:t>
      </w:r>
      <w:r>
        <w:rPr>
          <w:rFonts w:hint="eastAsia" w:ascii="宋体" w:hAnsi="宋体" w:eastAsia="宋体" w:cs="宋体"/>
          <w:sz w:val="21"/>
          <w:szCs w:val="21"/>
          <w:lang w:val="en-US" w:eastAsia="zh-CN"/>
        </w:rPr>
        <w:t xml:space="preserve">比功率</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14kW/t</w:t>
      </w:r>
      <w:r>
        <w:rPr>
          <w:rFonts w:hint="eastAsia" w:ascii="宋体" w:hAnsi="宋体" w:eastAsia="宋体" w:cs="宋体"/>
          <w:sz w:val="21"/>
          <w:szCs w:val="21"/>
        </w:rPr>
        <w:t xml:space="preserve">；</w:t>
      </w:r>
      <w:r/>
    </w:p>
    <w:p>
      <w:pPr>
        <w:ind w:left="0" w:right="0" w:firstLine="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1.1.5</w:t>
      </w:r>
      <w:r>
        <w:rPr>
          <w:rFonts w:hint="eastAsia" w:ascii="宋体" w:hAnsi="宋体" w:eastAsia="宋体" w:cs="宋体"/>
          <w:sz w:val="21"/>
          <w:szCs w:val="21"/>
          <w:lang w:val="en-US"/>
        </w:rPr>
        <w:t xml:space="preserve"> </w:t>
      </w:r>
      <w:r>
        <w:rPr>
          <w:rFonts w:hint="eastAsia" w:ascii="宋体" w:hAnsi="宋体" w:eastAsia="宋体" w:cs="宋体"/>
          <w:sz w:val="21"/>
          <w:szCs w:val="21"/>
          <w:lang w:val="en-US" w:eastAsia="zh-CN"/>
        </w:rPr>
        <w:t xml:space="preserve">最小转弯直径</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≤17m；</w:t>
      </w:r>
      <w:r/>
    </w:p>
    <w:p>
      <w:pPr>
        <w:ind w:left="0" w:right="0" w:firstLine="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1.1.6 载液量：≥3600kg（水）</w:t>
      </w:r>
      <w:r/>
    </w:p>
    <w:p>
      <w:pPr>
        <w:ind w:left="0" w:right="0" w:firstLine="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1.1.7 ▲外形尺寸（长×宽×高）：≤6700×2250×3500mm。</w:t>
      </w:r>
      <w:r/>
    </w:p>
    <w:p>
      <w:pPr>
        <w:ind w:left="0" w:right="0" w:firstLine="0"/>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1.2 底盘</w:t>
      </w:r>
      <w:r/>
    </w:p>
    <w:p>
      <w:pPr>
        <w:ind w:left="0" w:righ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1.2.1 发动机功率：≥</w:t>
      </w:r>
      <w:r>
        <w:rPr>
          <w:rFonts w:hint="eastAsia" w:ascii="宋体" w:hAnsi="宋体" w:eastAsia="宋体" w:cs="宋体"/>
          <w:sz w:val="21"/>
          <w:szCs w:val="21"/>
          <w:lang w:val="en-US"/>
        </w:rPr>
        <w:t xml:space="preserve">150</w:t>
      </w:r>
      <w:r>
        <w:rPr>
          <w:rFonts w:hint="eastAsia" w:ascii="宋体" w:hAnsi="宋体" w:eastAsia="宋体" w:cs="宋体"/>
          <w:sz w:val="21"/>
          <w:szCs w:val="21"/>
        </w:rPr>
        <w:t xml:space="preserve">kW；</w:t>
      </w:r>
      <w:r/>
    </w:p>
    <w:p>
      <w:pPr>
        <w:ind w:left="0" w:righ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1.2.2 燃料：柴油；</w:t>
      </w:r>
      <w:r/>
    </w:p>
    <w:p>
      <w:pPr>
        <w:ind w:left="0" w:righ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1.2.3 尾气排放：国六排放标准；</w:t>
      </w:r>
      <w:r/>
    </w:p>
    <w:p>
      <w:pPr>
        <w:ind w:left="0" w:righ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1.2.4 最高车速（km/h）≥</w:t>
      </w:r>
      <w:r>
        <w:rPr>
          <w:rFonts w:hint="eastAsia" w:ascii="宋体" w:hAnsi="宋体" w:eastAsia="宋体" w:cs="宋体"/>
          <w:sz w:val="21"/>
          <w:szCs w:val="21"/>
          <w:lang w:val="en-US"/>
        </w:rPr>
        <w:t xml:space="preserve">100</w:t>
      </w:r>
      <w:r>
        <w:rPr>
          <w:rFonts w:hint="eastAsia" w:ascii="宋体" w:hAnsi="宋体" w:eastAsia="宋体" w:cs="宋体"/>
          <w:sz w:val="21"/>
          <w:szCs w:val="21"/>
        </w:rPr>
        <w:t xml:space="preserve">；</w:t>
      </w:r>
      <w:r/>
    </w:p>
    <w:p>
      <w:pPr>
        <w:ind w:left="0" w:righ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1.2.5 驱动型式：</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2</w:t>
      </w:r>
      <w:r/>
    </w:p>
    <w:p>
      <w:pPr>
        <w:ind w:left="0" w:right="0" w:firstLine="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1.2.6 取力器：</w:t>
      </w:r>
      <w:r>
        <w:rPr>
          <w:rFonts w:hint="eastAsia" w:ascii="宋体" w:hAnsi="宋体" w:eastAsia="宋体" w:cs="宋体"/>
          <w:sz w:val="21"/>
          <w:szCs w:val="21"/>
          <w:lang w:eastAsia="zh-CN"/>
        </w:rPr>
        <w:t xml:space="preserve">底盘原装</w:t>
      </w:r>
      <w:r>
        <w:rPr>
          <w:rFonts w:hint="eastAsia" w:ascii="宋体" w:hAnsi="宋体" w:eastAsia="宋体" w:cs="宋体"/>
          <w:sz w:val="21"/>
          <w:szCs w:val="21"/>
          <w:lang w:val="en-US" w:eastAsia="zh-CN"/>
        </w:rPr>
        <w:t xml:space="preserve">夹心式</w:t>
      </w:r>
      <w:r>
        <w:rPr>
          <w:rFonts w:hint="eastAsia" w:ascii="宋体" w:hAnsi="宋体" w:eastAsia="宋体" w:cs="宋体"/>
          <w:sz w:val="21"/>
          <w:szCs w:val="21"/>
        </w:rPr>
        <w:t xml:space="preserve">取力器。</w:t>
      </w:r>
      <w:r/>
    </w:p>
    <w:p>
      <w:pPr>
        <w:ind w:left="0" w:right="0" w:firstLine="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1.2.7 </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驾驶室乘员</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rPr>
          <w:rFonts w:hint="eastAsia" w:ascii="宋体" w:hAnsi="宋体" w:eastAsia="宋体" w:cs="宋体"/>
          <w:bCs/>
          <w:sz w:val="21"/>
          <w:szCs w:val="21"/>
          <w:lang w:val="en-US"/>
        </w:rPr>
        <w:t xml:space="preserve">3+3</w:t>
      </w:r>
      <w:r>
        <w:rPr>
          <w:rFonts w:hint="eastAsia" w:ascii="宋体" w:hAnsi="宋体" w:eastAsia="宋体" w:cs="宋体"/>
          <w:bCs/>
          <w:sz w:val="21"/>
          <w:szCs w:val="21"/>
          <w:lang w:val="en-US" w:eastAsia="zh-CN"/>
        </w:rPr>
        <w:t xml:space="preserve">人</w:t>
      </w:r>
      <w:r>
        <w:rPr>
          <w:rFonts w:hint="eastAsia" w:ascii="宋体" w:hAnsi="宋体" w:eastAsia="宋体" w:cs="宋体"/>
          <w:bCs/>
          <w:sz w:val="21"/>
          <w:szCs w:val="21"/>
          <w:lang w:eastAsia="zh-CN"/>
        </w:rPr>
        <w:t xml:space="preserve">，主副驾座椅设置三点安全带，主驾带有安全带报警装置；</w:t>
      </w:r>
      <w:r/>
    </w:p>
    <w:p>
      <w:pPr>
        <w:ind w:left="0" w:right="0" w:firstLine="0"/>
        <w:jc w:val="left"/>
        <w:keepLines w:val="0"/>
        <w:keepNext w:val="0"/>
        <w:pageBreakBefore w:val="0"/>
        <w:spacing w:line="360" w:lineRule="auto"/>
        <w:widowControl w:val="off"/>
        <w:rPr>
          <w:rFonts w:hint="eastAsia" w:ascii="宋体" w:hAnsi="宋体" w:eastAsia="宋体" w:cs="宋体"/>
          <w:bCs/>
          <w:sz w:val="21"/>
          <w:szCs w:val="21"/>
          <w:lang w:eastAsia="zh-CN"/>
        </w:rPr>
      </w:pPr>
      <w:r>
        <w:rPr>
          <w:rFonts w:hint="eastAsia" w:ascii="宋体" w:hAnsi="宋体" w:eastAsia="宋体" w:cs="宋体"/>
          <w:sz w:val="21"/>
          <w:szCs w:val="21"/>
        </w:rPr>
        <w:t xml:space="preserve">1.2.8 轮胎：</w:t>
      </w:r>
      <w:r>
        <w:rPr>
          <w:rFonts w:hint="eastAsia" w:ascii="宋体" w:hAnsi="宋体" w:eastAsia="宋体" w:cs="宋体"/>
          <w:bCs/>
          <w:sz w:val="21"/>
          <w:szCs w:val="21"/>
          <w:lang w:val="en-US"/>
        </w:rPr>
        <w:t xml:space="preserve">前桥：235/75 R17.5，子午线钢丝胎；</w:t>
      </w:r>
      <w:r>
        <w:rPr>
          <w:rFonts w:hint="eastAsia" w:ascii="宋体" w:hAnsi="宋体" w:eastAsia="宋体" w:cs="宋体"/>
          <w:bCs/>
          <w:sz w:val="21"/>
          <w:szCs w:val="21"/>
          <w:lang w:val="en-US" w:eastAsia="zh-CN"/>
        </w:rPr>
        <w:t xml:space="preserve">后</w:t>
      </w:r>
      <w:r>
        <w:rPr>
          <w:rFonts w:hint="eastAsia" w:ascii="宋体" w:hAnsi="宋体" w:eastAsia="宋体" w:cs="宋体"/>
          <w:bCs/>
          <w:sz w:val="21"/>
          <w:szCs w:val="21"/>
          <w:lang w:val="en-US"/>
        </w:rPr>
        <w:t xml:space="preserve">桥：235/75 R17.5，子午线钢丝轮胎</w:t>
      </w:r>
      <w:r>
        <w:rPr>
          <w:rFonts w:hint="eastAsia" w:ascii="宋体" w:hAnsi="宋体" w:eastAsia="宋体" w:cs="宋体"/>
          <w:bCs/>
          <w:sz w:val="21"/>
          <w:szCs w:val="21"/>
          <w:lang w:val="en-US" w:eastAsia="zh-CN"/>
        </w:rPr>
        <w:t xml:space="preserve">；</w:t>
      </w:r>
      <w:r>
        <w:rPr>
          <w:rFonts w:hint="eastAsia" w:ascii="宋体" w:hAnsi="宋体" w:eastAsia="宋体" w:cs="宋体"/>
          <w:bCs/>
          <w:sz w:val="21"/>
          <w:szCs w:val="21"/>
        </w:rPr>
        <w:t xml:space="preserve">共</w:t>
      </w:r>
      <w:r>
        <w:rPr>
          <w:rFonts w:hint="eastAsia" w:ascii="宋体" w:hAnsi="宋体" w:eastAsia="宋体" w:cs="宋体"/>
          <w:bCs/>
          <w:sz w:val="21"/>
          <w:szCs w:val="21"/>
          <w:lang w:val="en-US"/>
        </w:rPr>
        <w:t xml:space="preserve">7</w:t>
      </w:r>
      <w:r>
        <w:rPr>
          <w:rFonts w:hint="eastAsia" w:ascii="宋体" w:hAnsi="宋体" w:eastAsia="宋体" w:cs="宋体"/>
          <w:bCs/>
          <w:sz w:val="21"/>
          <w:szCs w:val="21"/>
        </w:rPr>
        <w:t xml:space="preserve">条（含1条备胎）</w:t>
      </w:r>
      <w:r>
        <w:rPr>
          <w:rFonts w:hint="eastAsia" w:ascii="宋体" w:hAnsi="宋体" w:eastAsia="宋体" w:cs="宋体"/>
          <w:bCs/>
          <w:sz w:val="21"/>
          <w:szCs w:val="21"/>
          <w:lang w:eastAsia="zh-CN"/>
        </w:rPr>
        <w:t xml:space="preserve">；</w:t>
      </w:r>
      <w:r/>
    </w:p>
    <w:p>
      <w:pPr>
        <w:ind w:left="0" w:right="0" w:firstLine="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1.2.9 燃油箱 ≥</w:t>
      </w:r>
      <w:r>
        <w:rPr>
          <w:rFonts w:hint="eastAsia" w:ascii="宋体" w:hAnsi="宋体" w:eastAsia="宋体" w:cs="宋体"/>
          <w:sz w:val="21"/>
          <w:szCs w:val="21"/>
          <w:lang w:val="en-US"/>
        </w:rPr>
        <w:t xml:space="preserve">9</w:t>
      </w:r>
      <w:r>
        <w:rPr>
          <w:rFonts w:hint="eastAsia" w:ascii="宋体" w:hAnsi="宋体" w:eastAsia="宋体" w:cs="宋体"/>
          <w:sz w:val="21"/>
          <w:szCs w:val="21"/>
        </w:rPr>
        <w:t xml:space="preserve">0L，燃油箱带锁；≥</w:t>
      </w:r>
      <w:r>
        <w:rPr>
          <w:rFonts w:hint="eastAsia" w:ascii="宋体" w:hAnsi="宋体" w:eastAsia="宋体" w:cs="宋体"/>
          <w:sz w:val="21"/>
          <w:szCs w:val="21"/>
          <w:lang w:val="en-US"/>
        </w:rPr>
        <w:t xml:space="preserve">25</w:t>
      </w:r>
      <w:r>
        <w:rPr>
          <w:rFonts w:hint="eastAsia" w:ascii="宋体" w:hAnsi="宋体" w:eastAsia="宋体" w:cs="宋体"/>
          <w:sz w:val="21"/>
          <w:szCs w:val="21"/>
        </w:rPr>
        <w:t xml:space="preserve">L尿素罐；</w:t>
      </w:r>
      <w:r/>
    </w:p>
    <w:p>
      <w:pPr>
        <w:ind w:left="0" w:right="0" w:firstLine="0"/>
        <w:jc w:val="left"/>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w:t>
      </w:r>
      <w:r>
        <w:rPr>
          <w:rFonts w:hint="eastAsia" w:ascii="宋体" w:hAnsi="宋体" w:eastAsia="宋体" w:cs="宋体"/>
          <w:sz w:val="21"/>
          <w:szCs w:val="21"/>
          <w:lang w:val="en-US"/>
        </w:rPr>
        <w:t xml:space="preserve">1.2.10 </w:t>
      </w:r>
      <w:r>
        <w:rPr>
          <w:rFonts w:hint="eastAsia" w:ascii="宋体" w:hAnsi="宋体" w:eastAsia="宋体" w:cs="宋体"/>
          <w:sz w:val="21"/>
          <w:szCs w:val="21"/>
          <w:lang w:val="en-US" w:eastAsia="zh-CN"/>
        </w:rPr>
        <w:t xml:space="preserve">轴距：≤</w:t>
      </w:r>
      <w:r>
        <w:rPr>
          <w:rFonts w:hint="eastAsia" w:ascii="宋体" w:hAnsi="宋体" w:eastAsia="宋体" w:cs="宋体"/>
          <w:sz w:val="21"/>
          <w:szCs w:val="21"/>
          <w:lang w:val="en-US"/>
        </w:rPr>
        <w:t xml:space="preserve">4000mm</w:t>
      </w:r>
      <w:r>
        <w:rPr>
          <w:rFonts w:hint="eastAsia" w:ascii="宋体" w:hAnsi="宋体" w:eastAsia="宋体" w:cs="宋体"/>
          <w:sz w:val="21"/>
          <w:szCs w:val="21"/>
          <w:lang w:val="en-US" w:eastAsia="zh-CN"/>
        </w:rPr>
        <w:t xml:space="preserve">。</w:t>
      </w:r>
      <w:r/>
    </w:p>
    <w:p>
      <w:pPr>
        <w:ind w:left="0" w:right="0" w:firstLine="0"/>
        <w:keepLines w:val="0"/>
        <w:keepNext w:val="0"/>
        <w:pageBreakBefore w:val="0"/>
        <w:spacing w:line="360" w:lineRule="auto"/>
        <w:widowControl w:val="off"/>
        <w:rPr>
          <w:rFonts w:hint="eastAsia" w:ascii="宋体" w:hAnsi="宋体" w:eastAsia="宋体" w:cs="宋体"/>
          <w:b/>
          <w:sz w:val="21"/>
          <w:szCs w:val="21"/>
          <w:lang w:val="en-US" w:eastAsia="zh-CN"/>
        </w:rPr>
      </w:pPr>
      <w:r>
        <w:rPr>
          <w:rFonts w:hint="eastAsia" w:ascii="宋体" w:hAnsi="宋体" w:eastAsia="宋体" w:cs="宋体"/>
          <w:b/>
          <w:sz w:val="21"/>
          <w:szCs w:val="21"/>
        </w:rPr>
        <w:t xml:space="preserve">1.3</w:t>
      </w:r>
      <w:r>
        <w:rPr>
          <w:rFonts w:hint="eastAsia" w:ascii="宋体" w:hAnsi="宋体" w:eastAsia="宋体" w:cs="宋体"/>
          <w:b/>
          <w:sz w:val="21"/>
          <w:szCs w:val="21"/>
          <w:lang w:val="en-US" w:eastAsia="zh-CN"/>
        </w:rPr>
        <w:t xml:space="preserve">消防系统</w:t>
      </w:r>
      <w:r/>
    </w:p>
    <w:p>
      <w:pPr>
        <w:ind w:left="0" w:righ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Cs/>
          <w:sz w:val="21"/>
          <w:szCs w:val="21"/>
        </w:rPr>
        <w:t xml:space="preserve">1.3.1 </w:t>
      </w:r>
      <w:r>
        <w:rPr>
          <w:rFonts w:hint="eastAsia" w:ascii="宋体" w:hAnsi="宋体" w:eastAsia="宋体" w:cs="宋体"/>
          <w:sz w:val="21"/>
          <w:szCs w:val="21"/>
          <w:lang w:val="en-US" w:eastAsia="zh-CN"/>
        </w:rPr>
        <w:t xml:space="preserve">罐体采用不锈钢材质。</w:t>
      </w:r>
      <w:r/>
    </w:p>
    <w:p>
      <w:pPr>
        <w:ind w:left="0" w:righ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1.3.2 水罐罐顶设有直径450mm的人孔，加装快速开启/锁定装置的罐盖，罐底设排污口，配球阀。</w:t>
      </w:r>
      <w:r/>
    </w:p>
    <w:p>
      <w:pPr>
        <w:ind w:left="0" w:right="0" w:firstLine="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1.3.3</w:t>
      </w:r>
      <w:r>
        <w:rPr>
          <w:rFonts w:hint="eastAsia" w:ascii="宋体" w:hAnsi="宋体" w:eastAsia="宋体" w:cs="宋体"/>
          <w:sz w:val="21"/>
          <w:szCs w:val="21"/>
          <w:lang w:val="en-US"/>
        </w:rPr>
        <w:t xml:space="preserve"> </w:t>
      </w:r>
      <w:r>
        <w:rPr>
          <w:rFonts w:hint="eastAsia" w:ascii="宋体" w:hAnsi="宋体" w:eastAsia="宋体" w:cs="宋体"/>
          <w:sz w:val="21"/>
          <w:szCs w:val="21"/>
        </w:rPr>
        <w:t xml:space="preserve">水罐注水设施：安装2个向水罐注水的进水管；1个水泵向水罐注水的管道，配有控制阀</w:t>
      </w:r>
      <w:r>
        <w:rPr>
          <w:rFonts w:hint="eastAsia" w:ascii="宋体" w:hAnsi="宋体" w:eastAsia="宋体" w:cs="宋体"/>
          <w:sz w:val="21"/>
          <w:szCs w:val="21"/>
          <w:lang w:eastAsia="zh-CN"/>
        </w:rPr>
        <w:t xml:space="preserve">。</w:t>
      </w:r>
      <w:r/>
    </w:p>
    <w:p>
      <w:pPr>
        <w:ind w:left="0" w:right="0" w:firstLine="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1.3.4罐体配有液位计用于测量水容积</w:t>
      </w:r>
      <w:r>
        <w:rPr>
          <w:rFonts w:hint="eastAsia" w:ascii="宋体" w:hAnsi="宋体" w:eastAsia="宋体" w:cs="宋体"/>
          <w:sz w:val="21"/>
          <w:szCs w:val="21"/>
          <w:lang w:eastAsia="zh-CN"/>
        </w:rPr>
        <w:t xml:space="preserve">。</w:t>
      </w:r>
      <w:r/>
    </w:p>
    <w:p>
      <w:pPr>
        <w:ind w:left="0" w:right="0" w:firstLine="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1.3.6消防泵</w:t>
      </w:r>
      <w:r/>
    </w:p>
    <w:p>
      <w:pPr>
        <w:ind w:left="0" w:right="0" w:firstLine="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★1.3.6.1车载连续运转额定流量：≥40L/s，≥1.0MPa；</w:t>
      </w:r>
      <w:r/>
    </w:p>
    <w:p>
      <w:pPr>
        <w:ind w:left="0" w:right="0" w:firstLine="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1.3.6.2引水时间：≤60s。</w:t>
      </w:r>
      <w:r/>
    </w:p>
    <w:p>
      <w:pPr>
        <w:ind w:left="0" w:right="0" w:firstLine="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1.3.7 消防炮</w:t>
      </w:r>
      <w:r/>
    </w:p>
    <w:p>
      <w:pPr>
        <w:ind w:left="0" w:right="0" w:firstLine="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1.3.7.1额定流量：≥30L/s；</w:t>
      </w:r>
      <w:r/>
    </w:p>
    <w:p>
      <w:pPr>
        <w:ind w:left="0" w:right="0" w:firstLine="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1.3.7.2车载射程：≥60m（水）</w:t>
      </w:r>
      <w:r/>
    </w:p>
    <w:p>
      <w:pPr>
        <w:ind w:left="0" w:righ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1.3.7.3消防炮装车后俯仰角：≤-20°～≥﹢75°，水平回转角：≥360°</w:t>
      </w:r>
      <w:r>
        <w:rPr>
          <w:rFonts w:hint="eastAsia" w:ascii="宋体" w:hAnsi="宋体" w:eastAsia="宋体" w:cs="宋体"/>
          <w:sz w:val="21"/>
          <w:szCs w:val="21"/>
        </w:rPr>
        <w:t xml:space="preserve">。</w:t>
      </w:r>
      <w:r/>
    </w:p>
    <w:p>
      <w:pPr>
        <w:ind w:left="0" w:right="0" w:firstLine="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rPr>
        <w:t xml:space="preserve">1.3.8 </w:t>
      </w:r>
      <w:r>
        <w:rPr>
          <w:rFonts w:hint="eastAsia" w:ascii="宋体" w:hAnsi="宋体" w:eastAsia="宋体" w:cs="宋体"/>
          <w:sz w:val="21"/>
          <w:szCs w:val="21"/>
          <w:lang w:val="en-US" w:eastAsia="zh-CN"/>
        </w:rPr>
        <w:t xml:space="preserve">消防接口配置</w:t>
      </w:r>
      <w:r/>
    </w:p>
    <w:tbl>
      <w:tblPr>
        <w:tblStyle w:val="70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27"/>
        <w:gridCol w:w="2096"/>
        <w:gridCol w:w="3235"/>
      </w:tblGrid>
      <w:tr>
        <w:trPr>
          <w:jc w:val="center"/>
          <w:trHeight w:val="32"/>
        </w:trPr>
        <w:tc>
          <w:tcPr>
            <w:tcW w:w="2323" w:type="pct"/>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接口</w:t>
            </w:r>
            <w:r/>
          </w:p>
        </w:tc>
        <w:tc>
          <w:tcPr>
            <w:tcW w:w="1052" w:type="pct"/>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规格</w:t>
            </w:r>
            <w:r/>
          </w:p>
        </w:tc>
        <w:tc>
          <w:tcPr>
            <w:tcW w:w="1624" w:type="pct"/>
            <w:vAlign w:val="center"/>
            <w:textDirection w:val="lrTb"/>
            <w:noWrap w:val="false"/>
          </w:tcPr>
          <w:p>
            <w:pPr>
              <w:jc w:val="center"/>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阀</w:t>
            </w:r>
            <w:r/>
          </w:p>
        </w:tc>
      </w:tr>
      <w:tr>
        <w:trPr>
          <w:jc w:val="center"/>
          <w:trHeight w:val="23"/>
        </w:trPr>
        <w:tc>
          <w:tcPr>
            <w:tcW w:w="2323"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外吸水接口</w:t>
            </w:r>
            <w:r/>
          </w:p>
        </w:tc>
        <w:tc>
          <w:tcPr>
            <w:tcW w:w="1052" w:type="pct"/>
            <w:vAlign w:val="center"/>
            <w:textDirection w:val="lrTb"/>
            <w:noWrap w:val="false"/>
          </w:tcPr>
          <w:p>
            <w:pPr>
              <w:contextualSpacing/>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1×DN125</w:t>
            </w:r>
            <w:r/>
          </w:p>
        </w:tc>
        <w:tc>
          <w:tcPr>
            <w:tcW w:w="1624" w:type="pct"/>
            <w:vAlign w:val="center"/>
            <w:textDirection w:val="lrTb"/>
            <w:noWrap w:val="false"/>
          </w:tcPr>
          <w:p>
            <w:pPr>
              <w:contextualSpacing/>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配闷盖</w:t>
            </w:r>
            <w:r/>
          </w:p>
        </w:tc>
      </w:tr>
      <w:tr>
        <w:trPr>
          <w:jc w:val="center"/>
          <w:trHeight w:val="23"/>
        </w:trPr>
        <w:tc>
          <w:tcPr>
            <w:tcW w:w="2323" w:type="pct"/>
            <w:vAlign w:val="center"/>
            <w:textDirection w:val="lrTb"/>
            <w:noWrap w:val="false"/>
          </w:tcPr>
          <w:p>
            <w:pPr>
              <w:contextualSpacing/>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出水接口</w:t>
            </w:r>
            <w:r/>
          </w:p>
        </w:tc>
        <w:tc>
          <w:tcPr>
            <w:tcW w:w="1052" w:type="pct"/>
            <w:vAlign w:val="center"/>
            <w:textDirection w:val="lrTb"/>
            <w:noWrap w:val="false"/>
          </w:tcPr>
          <w:p>
            <w:pPr>
              <w:contextualSpacing/>
              <w:jc w:val="center"/>
              <w:keepLines w:val="0"/>
              <w:keepNext w:val="0"/>
              <w:pageBreakBefore w:val="0"/>
              <w:spacing w:line="360" w:lineRule="auto"/>
              <w:rPr>
                <w:rFonts w:hint="eastAsia" w:ascii="宋体" w:hAnsi="宋体" w:eastAsia="宋体" w:cs="宋体"/>
                <w:sz w:val="21"/>
                <w:szCs w:val="21"/>
              </w:rPr>
            </w:pPr>
            <w:r>
              <w:rPr>
                <w:rFonts w:hint="eastAsia" w:ascii="宋体" w:hAnsi="宋体" w:eastAsia="宋体" w:cs="宋体"/>
                <w:sz w:val="21"/>
                <w:szCs w:val="21"/>
              </w:rPr>
              <w:t xml:space="preserve">2×DN80</w:t>
            </w:r>
            <w:r/>
          </w:p>
          <w:p>
            <w:pPr>
              <w:contextualSpacing/>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2×DN65</w:t>
            </w:r>
            <w:r/>
          </w:p>
        </w:tc>
        <w:tc>
          <w:tcPr>
            <w:tcW w:w="1624" w:type="pct"/>
            <w:vAlign w:val="center"/>
            <w:textDirection w:val="lrTb"/>
            <w:noWrap w:val="false"/>
          </w:tcPr>
          <w:p>
            <w:pPr>
              <w:contextualSpacing/>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手动球阀</w:t>
            </w:r>
            <w:r/>
          </w:p>
        </w:tc>
      </w:tr>
      <w:tr>
        <w:trPr>
          <w:jc w:val="center"/>
          <w:trHeight w:val="23"/>
        </w:trPr>
        <w:tc>
          <w:tcPr>
            <w:tcW w:w="2323" w:type="pct"/>
            <w:vAlign w:val="center"/>
            <w:textDirection w:val="lrTb"/>
            <w:noWrap w:val="false"/>
          </w:tcPr>
          <w:p>
            <w:pPr>
              <w:contextualSpacing/>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水罐排污接口</w:t>
            </w:r>
            <w:r/>
          </w:p>
        </w:tc>
        <w:tc>
          <w:tcPr>
            <w:tcW w:w="1052" w:type="pct"/>
            <w:vAlign w:val="center"/>
            <w:textDirection w:val="lrTb"/>
            <w:noWrap w:val="false"/>
          </w:tcPr>
          <w:p>
            <w:pPr>
              <w:contextualSpacing/>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1×DN40</w:t>
            </w:r>
            <w:r/>
          </w:p>
        </w:tc>
        <w:tc>
          <w:tcPr>
            <w:tcW w:w="1624" w:type="pct"/>
            <w:vAlign w:val="center"/>
            <w:textDirection w:val="lrTb"/>
            <w:noWrap w:val="false"/>
          </w:tcPr>
          <w:p>
            <w:pPr>
              <w:contextualSpacing/>
              <w:jc w:val="center"/>
              <w:keepLines w:val="0"/>
              <w:keepNext w:val="0"/>
              <w:pageBreakBefore w:val="0"/>
              <w:spacing w:line="360" w:lineRule="auto"/>
              <w:rPr>
                <w:rFonts w:hint="eastAsia" w:ascii="宋体" w:hAnsi="宋体" w:eastAsia="宋体" w:cs="宋体"/>
                <w:color w:val="auto"/>
                <w:sz w:val="21"/>
                <w:szCs w:val="21"/>
              </w:rPr>
            </w:pPr>
            <w:r>
              <w:rPr>
                <w:rFonts w:hint="eastAsia" w:ascii="宋体" w:hAnsi="宋体" w:eastAsia="宋体" w:cs="宋体"/>
                <w:sz w:val="21"/>
                <w:szCs w:val="21"/>
              </w:rPr>
              <w:t xml:space="preserve">手动球阀</w:t>
            </w:r>
            <w:r/>
          </w:p>
        </w:tc>
      </w:tr>
    </w:tbl>
    <w:p>
      <w:pPr>
        <w:ind w:left="0" w:right="0" w:firstLine="0"/>
        <w:keepLines w:val="0"/>
        <w:keepNext w:val="0"/>
        <w:pageBreakBefore w:val="0"/>
        <w:spacing w:line="360" w:lineRule="auto"/>
        <w:widowControl w:val="off"/>
        <w:rPr>
          <w:rFonts w:hint="eastAsia" w:ascii="宋体" w:hAnsi="宋体" w:eastAsia="宋体" w:cs="宋体"/>
          <w:b/>
          <w:sz w:val="21"/>
          <w:szCs w:val="21"/>
          <w:lang w:val="en-US" w:eastAsia="zh-CN"/>
        </w:rPr>
      </w:pPr>
      <w:r>
        <w:rPr>
          <w:rFonts w:hint="eastAsia" w:ascii="宋体" w:hAnsi="宋体" w:eastAsia="宋体" w:cs="宋体"/>
          <w:b/>
          <w:sz w:val="21"/>
          <w:szCs w:val="21"/>
        </w:rPr>
        <w:t xml:space="preserve">1.4  </w:t>
      </w:r>
      <w:r>
        <w:rPr>
          <w:rFonts w:hint="eastAsia" w:ascii="宋体" w:hAnsi="宋体" w:eastAsia="宋体" w:cs="宋体"/>
          <w:b/>
          <w:sz w:val="21"/>
          <w:szCs w:val="21"/>
          <w:lang w:val="en-US" w:eastAsia="zh-CN"/>
        </w:rPr>
        <w:t xml:space="preserve">主要结构件</w:t>
      </w:r>
      <w:r/>
    </w:p>
    <w:p>
      <w:pPr>
        <w:ind w:left="0" w:right="0" w:firstLine="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.1 </w:t>
      </w:r>
      <w:r>
        <w:rPr>
          <w:rFonts w:hint="eastAsia" w:ascii="宋体" w:hAnsi="宋体" w:eastAsia="宋体" w:cs="宋体"/>
          <w:sz w:val="21"/>
          <w:szCs w:val="21"/>
          <w:lang w:val="en-US" w:eastAsia="zh-CN"/>
        </w:rPr>
        <w:t xml:space="preserve">泵室</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采用不低于优质碳钢焊接框架，蒙皮采用铝合金材质，防腐效果好</w:t>
      </w:r>
      <w:r>
        <w:rPr>
          <w:rFonts w:hint="eastAsia" w:ascii="宋体" w:hAnsi="宋体" w:eastAsia="宋体" w:cs="宋体"/>
          <w:sz w:val="21"/>
          <w:szCs w:val="21"/>
          <w:lang w:eastAsia="zh-CN"/>
        </w:rPr>
        <w:t xml:space="preserve">。</w:t>
      </w:r>
      <w:r/>
    </w:p>
    <w:p>
      <w:pPr>
        <w:ind w:left="0" w:right="0" w:firstLine="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eastAsia="zh-CN"/>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.2 </w:t>
      </w:r>
      <w:r>
        <w:rPr>
          <w:rFonts w:hint="eastAsia" w:ascii="宋体" w:hAnsi="宋体" w:eastAsia="宋体" w:cs="宋体"/>
          <w:sz w:val="21"/>
          <w:szCs w:val="21"/>
          <w:lang w:val="en-US" w:eastAsia="zh-CN"/>
        </w:rPr>
        <w:t xml:space="preserve">翻转踏板</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承重≥150kg，采用机械弹簧加锁止销双重锁紧。</w:t>
      </w:r>
      <w:r/>
    </w:p>
    <w:p>
      <w:pPr>
        <w:ind w:left="0" w:righ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.4</w:t>
      </w:r>
      <w:r>
        <w:rPr>
          <w:rFonts w:hint="eastAsia" w:ascii="宋体" w:hAnsi="宋体" w:eastAsia="宋体" w:cs="宋体"/>
          <w:sz w:val="21"/>
          <w:szCs w:val="21"/>
          <w:lang w:val="en-US"/>
        </w:rPr>
        <w:t xml:space="preserve"> </w:t>
      </w:r>
      <w:r>
        <w:rPr>
          <w:rFonts w:hint="eastAsia" w:ascii="宋体" w:hAnsi="宋体" w:eastAsia="宋体" w:cs="宋体"/>
          <w:sz w:val="21"/>
          <w:szCs w:val="21"/>
        </w:rPr>
        <w:t xml:space="preserve">卷帘门：拉杆式快速开启卷帘门。</w:t>
      </w:r>
      <w:r/>
    </w:p>
    <w:p>
      <w:pPr>
        <w:ind w:left="0" w:right="0" w:firstLine="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 尾部爬梯：车辆后部设置铝合金爬梯，踢蹬防滑设计，方便消防员攀爬到车顶作业</w:t>
      </w:r>
      <w:r>
        <w:rPr>
          <w:rFonts w:hint="eastAsia" w:ascii="宋体" w:hAnsi="宋体" w:eastAsia="宋体" w:cs="宋体"/>
          <w:sz w:val="21"/>
          <w:szCs w:val="21"/>
          <w:lang w:eastAsia="zh-CN"/>
        </w:rPr>
        <w:t xml:space="preserve">。</w:t>
      </w:r>
      <w:r/>
    </w:p>
    <w:p>
      <w:pPr>
        <w:ind w:left="0" w:right="0" w:firstLine="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6 </w:t>
      </w:r>
      <w:r>
        <w:rPr>
          <w:rFonts w:hint="eastAsia" w:ascii="宋体" w:hAnsi="宋体" w:eastAsia="宋体" w:cs="宋体"/>
          <w:sz w:val="21"/>
          <w:szCs w:val="21"/>
          <w:lang w:val="en-US" w:eastAsia="zh-CN"/>
        </w:rPr>
        <w:t xml:space="preserve">副车架</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采用框架式副车架设计技术，整体焊接，强度好，维修空间大，易于维护保养。</w:t>
      </w:r>
      <w:r/>
    </w:p>
    <w:p>
      <w:pPr>
        <w:ind w:left="0" w:right="0" w:firstLine="0"/>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lang w:val="en-US"/>
        </w:rPr>
        <w:t xml:space="preserve">5</w:t>
      </w:r>
      <w:r>
        <w:rPr>
          <w:rFonts w:hint="eastAsia" w:ascii="宋体" w:hAnsi="宋体" w:eastAsia="宋体" w:cs="宋体"/>
          <w:b/>
          <w:sz w:val="21"/>
          <w:szCs w:val="21"/>
        </w:rPr>
        <w:t xml:space="preserve"> 电气系统</w:t>
      </w:r>
      <w:r/>
    </w:p>
    <w:p>
      <w:pPr>
        <w:ind w:left="0" w:right="0" w:firstLine="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.1 </w:t>
      </w:r>
      <w:r>
        <w:rPr>
          <w:rFonts w:hint="eastAsia" w:ascii="宋体" w:hAnsi="宋体" w:eastAsia="宋体" w:cs="宋体"/>
          <w:bCs/>
          <w:sz w:val="21"/>
          <w:szCs w:val="21"/>
        </w:rPr>
        <w:t xml:space="preserve">驾驶室内安装警报器及扩音装置，功率：100W。</w:t>
      </w:r>
      <w:r/>
    </w:p>
    <w:p>
      <w:pPr>
        <w:ind w:left="0" w:right="0" w:firstLine="0"/>
        <w:keepLines w:val="0"/>
        <w:keepNext w:val="0"/>
        <w:pageBreakBefore w:val="0"/>
        <w:spacing w:line="360" w:lineRule="auto"/>
        <w:widowControl w:val="off"/>
        <w:rPr>
          <w:rFonts w:hint="eastAsia" w:ascii="宋体" w:hAnsi="宋体" w:eastAsia="宋体" w:cs="宋体"/>
          <w:bCs/>
          <w:sz w:val="21"/>
          <w:szCs w:val="21"/>
          <w:lang w:val="en-US"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2</w:t>
      </w:r>
      <w:r>
        <w:rPr>
          <w:rFonts w:hint="eastAsia" w:ascii="宋体" w:hAnsi="宋体" w:eastAsia="宋体" w:cs="宋体"/>
          <w:sz w:val="21"/>
          <w:szCs w:val="21"/>
        </w:rPr>
        <w:t xml:space="preserve"> </w:t>
      </w:r>
      <w:r>
        <w:rPr>
          <w:rFonts w:hint="eastAsia" w:ascii="宋体" w:hAnsi="宋体" w:eastAsia="宋体" w:cs="宋体"/>
          <w:bCs/>
          <w:sz w:val="21"/>
          <w:szCs w:val="21"/>
          <w:lang w:val="zh-CN"/>
        </w:rPr>
        <w:t xml:space="preserve">驾驶室顶部前端安装长排专用红色频闪警灯；车身两侧装有爆闪警示灯</w:t>
      </w:r>
      <w:r>
        <w:rPr>
          <w:rFonts w:hint="eastAsia" w:ascii="宋体" w:hAnsi="宋体" w:eastAsia="宋体" w:cs="宋体"/>
          <w:bCs/>
          <w:sz w:val="21"/>
          <w:szCs w:val="21"/>
          <w:lang w:val="en-US" w:eastAsia="zh-CN"/>
        </w:rPr>
        <w:t xml:space="preserve">。</w:t>
      </w:r>
      <w:r/>
    </w:p>
    <w:p>
      <w:pPr>
        <w:ind w:left="0" w:right="0" w:firstLine="0"/>
        <w:keepLines w:val="0"/>
        <w:keepNext w:val="0"/>
        <w:pageBreakBefore w:val="0"/>
        <w:spacing w:line="360" w:lineRule="auto"/>
        <w:widowControl w:val="off"/>
        <w:rPr>
          <w:rFonts w:hint="eastAsia" w:ascii="宋体" w:hAnsi="宋体" w:eastAsia="宋体" w:cs="宋体"/>
          <w:bCs/>
          <w:sz w:val="21"/>
          <w:szCs w:val="21"/>
          <w:lang w:val="en-US"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3</w:t>
      </w:r>
      <w:r>
        <w:rPr>
          <w:rFonts w:hint="eastAsia" w:ascii="宋体" w:hAnsi="宋体" w:eastAsia="宋体" w:cs="宋体"/>
          <w:sz w:val="21"/>
          <w:szCs w:val="21"/>
        </w:rPr>
        <w:t xml:space="preserve"> </w:t>
      </w:r>
      <w:r>
        <w:rPr>
          <w:rFonts w:hint="eastAsia" w:ascii="宋体" w:hAnsi="宋体" w:eastAsia="宋体" w:cs="宋体"/>
          <w:bCs/>
          <w:sz w:val="21"/>
          <w:szCs w:val="21"/>
          <w:lang w:val="en-US"/>
        </w:rPr>
        <w:t xml:space="preserve">车体装有两侧安全侧标志灯、后示廓灯、黄色转向灯；泵室内均有照明灯；车体侧部及尾部均设有外部照明灯，保障夜间作业</w:t>
      </w:r>
      <w:r>
        <w:rPr>
          <w:rFonts w:hint="eastAsia" w:ascii="宋体" w:hAnsi="宋体" w:eastAsia="宋体" w:cs="宋体"/>
          <w:bCs/>
          <w:sz w:val="21"/>
          <w:szCs w:val="21"/>
          <w:lang w:val="en-US" w:eastAsia="zh-CN"/>
        </w:rPr>
        <w:t xml:space="preserve">。</w:t>
      </w:r>
      <w:r/>
    </w:p>
    <w:p>
      <w:pPr>
        <w:ind w:left="0" w:right="0" w:firstLine="0"/>
        <w:keepLines w:val="0"/>
        <w:keepNext w:val="0"/>
        <w:pageBreakBefore w:val="0"/>
        <w:spacing w:line="360" w:lineRule="auto"/>
        <w:widowControl w:val="off"/>
        <w:rPr>
          <w:rFonts w:hint="eastAsia" w:ascii="宋体" w:hAnsi="宋体" w:eastAsia="宋体" w:cs="宋体"/>
          <w:bCs/>
          <w:sz w:val="21"/>
          <w:szCs w:val="21"/>
          <w:lang w:val="en-US"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 </w:t>
      </w:r>
      <w:r>
        <w:rPr>
          <w:rFonts w:hint="eastAsia" w:ascii="宋体" w:hAnsi="宋体" w:eastAsia="宋体" w:cs="宋体"/>
          <w:bCs/>
          <w:sz w:val="21"/>
          <w:szCs w:val="21"/>
          <w:lang w:val="en-US" w:eastAsia="zh-CN"/>
        </w:rPr>
        <w:t xml:space="preserve">可使用220V市电对蓄电池充电，消防车启动时充电插头自动脱落。</w:t>
      </w:r>
      <w:r/>
    </w:p>
    <w:p>
      <w:pPr>
        <w:ind w:left="0" w:right="0" w:firstLine="0"/>
        <w:keepLines w:val="0"/>
        <w:keepNext w:val="0"/>
        <w:pageBreakBefore w:val="0"/>
        <w:spacing w:line="360" w:lineRule="auto"/>
        <w:widowControl w:val="off"/>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lang w:val="en-US"/>
        </w:rPr>
        <w:t xml:space="preserve">6</w:t>
      </w:r>
      <w:r>
        <w:rPr>
          <w:rFonts w:hint="eastAsia" w:ascii="宋体" w:hAnsi="宋体" w:eastAsia="宋体" w:cs="宋体"/>
          <w:b/>
          <w:sz w:val="21"/>
          <w:szCs w:val="21"/>
        </w:rPr>
        <w:t xml:space="preserve"> 车辆外观</w:t>
      </w:r>
      <w:r/>
    </w:p>
    <w:p>
      <w:pPr>
        <w:ind w:left="0" w:right="0" w:firstLine="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rPr>
        <w:t xml:space="preserve">6</w:t>
      </w:r>
      <w:r>
        <w:rPr>
          <w:rFonts w:hint="eastAsia" w:ascii="宋体" w:hAnsi="宋体" w:eastAsia="宋体" w:cs="宋体"/>
          <w:sz w:val="21"/>
          <w:szCs w:val="21"/>
        </w:rPr>
        <w:t xml:space="preserve">.1</w:t>
      </w:r>
      <w:r>
        <w:rPr>
          <w:rFonts w:hint="eastAsia" w:ascii="宋体" w:hAnsi="宋体" w:eastAsia="宋体" w:cs="宋体"/>
          <w:sz w:val="21"/>
          <w:szCs w:val="21"/>
          <w:lang w:val="en-US"/>
        </w:rPr>
        <w:t xml:space="preserve"> </w:t>
      </w:r>
      <w:r>
        <w:rPr>
          <w:rFonts w:hint="eastAsia" w:ascii="宋体" w:hAnsi="宋体" w:eastAsia="宋体" w:cs="宋体"/>
          <w:bCs/>
          <w:sz w:val="21"/>
          <w:szCs w:val="21"/>
        </w:rPr>
        <w:t xml:space="preserve">梯蹬、车顶表面采用防滑材质；</w:t>
      </w:r>
      <w:r/>
    </w:p>
    <w:p>
      <w:pPr>
        <w:ind w:left="0" w:right="0" w:firstLine="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lang w:val="en-US"/>
        </w:rPr>
        <w:t xml:space="preserve">6</w:t>
      </w:r>
      <w:r>
        <w:rPr>
          <w:rFonts w:hint="eastAsia" w:ascii="宋体" w:hAnsi="宋体" w:eastAsia="宋体" w:cs="宋体"/>
          <w:sz w:val="21"/>
          <w:szCs w:val="21"/>
        </w:rPr>
        <w:t xml:space="preserve">.</w:t>
      </w:r>
      <w:r>
        <w:rPr>
          <w:rFonts w:hint="eastAsia" w:ascii="宋体" w:hAnsi="宋体" w:eastAsia="宋体" w:cs="宋体"/>
          <w:bCs/>
          <w:sz w:val="21"/>
          <w:szCs w:val="21"/>
          <w:lang w:val="en-US"/>
        </w:rPr>
        <w:t xml:space="preserve">2 </w:t>
      </w:r>
      <w:r>
        <w:rPr>
          <w:rFonts w:hint="eastAsia" w:ascii="宋体" w:hAnsi="宋体" w:eastAsia="宋体" w:cs="宋体"/>
          <w:bCs/>
          <w:sz w:val="21"/>
          <w:szCs w:val="21"/>
        </w:rPr>
        <w:t xml:space="preserve">车身周围加贴反光标志条。</w:t>
      </w:r>
      <w:r/>
    </w:p>
    <w:p>
      <w:pPr>
        <w:ind w:left="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rPr>
        <w:t xml:space="preserve">1.7 </w:t>
      </w:r>
      <w:r>
        <w:rPr>
          <w:rFonts w:hint="eastAsia" w:ascii="宋体" w:hAnsi="宋体" w:eastAsia="宋体" w:cs="宋体"/>
          <w:b/>
          <w:bCs/>
          <w:sz w:val="21"/>
          <w:szCs w:val="21"/>
          <w:lang w:val="en-US" w:eastAsia="zh-CN"/>
        </w:rPr>
        <w:t xml:space="preserve">随车器材</w:t>
      </w:r>
      <w:r/>
    </w:p>
    <w:tbl>
      <w:tblPr>
        <w:tblStyle w:val="70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02"/>
        <w:gridCol w:w="5547"/>
        <w:gridCol w:w="1103"/>
        <w:gridCol w:w="1103"/>
        <w:gridCol w:w="1103"/>
      </w:tblGrid>
      <w:tr>
        <w:trPr>
          <w:trHeight w:val="454" w:hRule="exact"/>
        </w:trPr>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b/>
                <w:bCs/>
                <w:sz w:val="21"/>
                <w:szCs w:val="21"/>
              </w:rPr>
            </w:pPr>
            <w:r>
              <w:rPr>
                <w:rFonts w:hint="eastAsia" w:ascii="宋体" w:hAnsi="宋体" w:eastAsia="宋体" w:cs="宋体"/>
                <w:b/>
                <w:bCs/>
                <w:color w:val="000000"/>
                <w:sz w:val="21"/>
                <w:szCs w:val="21"/>
              </w:rPr>
              <w:t xml:space="preserve">序号</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名称规格与型号</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b/>
                <w:bCs/>
                <w:sz w:val="21"/>
                <w:szCs w:val="21"/>
              </w:rPr>
            </w:pPr>
            <w:r>
              <w:rPr>
                <w:rFonts w:hint="eastAsia" w:ascii="宋体" w:hAnsi="宋体" w:eastAsia="宋体" w:cs="宋体"/>
                <w:b/>
                <w:bCs/>
                <w:color w:val="000000"/>
                <w:sz w:val="21"/>
                <w:szCs w:val="21"/>
              </w:rPr>
              <w:t xml:space="preserve">单位</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b/>
                <w:bCs/>
                <w:sz w:val="21"/>
                <w:szCs w:val="21"/>
              </w:rPr>
            </w:pPr>
            <w:r>
              <w:rPr>
                <w:rFonts w:hint="eastAsia" w:ascii="宋体" w:hAnsi="宋体" w:eastAsia="宋体" w:cs="宋体"/>
                <w:b/>
                <w:bCs/>
                <w:color w:val="000000"/>
                <w:sz w:val="21"/>
                <w:szCs w:val="21"/>
              </w:rPr>
              <w:t xml:space="preserve">数量</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b/>
                <w:bCs/>
                <w:sz w:val="21"/>
                <w:szCs w:val="21"/>
              </w:rPr>
            </w:pPr>
            <w:r>
              <w:rPr>
                <w:rFonts w:hint="eastAsia" w:ascii="宋体" w:hAnsi="宋体" w:eastAsia="宋体" w:cs="宋体"/>
                <w:b/>
                <w:bCs/>
                <w:color w:val="000000"/>
                <w:sz w:val="21"/>
                <w:szCs w:val="21"/>
              </w:rPr>
              <w:t xml:space="preserve">备注</w:t>
            </w:r>
            <w:r/>
          </w:p>
        </w:tc>
      </w:tr>
      <w:tr>
        <w:trPr>
          <w:cantSplit/>
          <w:trHeight w:val="532"/>
        </w:trPr>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吸水管</w:t>
            </w:r>
            <w:r/>
          </w:p>
        </w:tc>
        <w:tc>
          <w:tcPr>
            <w:shd w:val="clear" w:color="auto" w:fill="auto"/>
            <w:tcW w:w="0" w:type="auto"/>
            <w:vAlign w:val="center"/>
            <w:textDirection w:val="lrTb"/>
            <w:noWrap w:val="false"/>
          </w:tcPr>
          <w:p>
            <w:pPr>
              <w:contextualSpacing/>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根</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W w:w="0" w:type="auto"/>
            <w:vAlign w:val="center"/>
            <w:textDirection w:val="lrTb"/>
            <w:noWrap w:val="false"/>
          </w:tcPr>
          <w:p>
            <w:pPr>
              <w:pStyle w:val="746"/>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464"/>
        </w:trPr>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滤水器（含接口） 125</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件</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W w:w="0" w:type="auto"/>
            <w:vAlign w:val="center"/>
            <w:textDirection w:val="lrTb"/>
            <w:noWrap w:val="false"/>
          </w:tcPr>
          <w:p>
            <w:pPr>
              <w:pStyle w:val="746"/>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397" w:hRule="exact"/>
        </w:trPr>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3</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二分水器</w:t>
            </w:r>
            <w:r/>
          </w:p>
        </w:tc>
        <w:tc>
          <w:tcPr>
            <w:shd w:val="clear" w:color="auto" w:fill="auto"/>
            <w:tcW w:w="0" w:type="auto"/>
            <w:vAlign w:val="center"/>
            <w:textDirection w:val="lrTb"/>
            <w:noWrap w:val="false"/>
          </w:tcPr>
          <w:p>
            <w:pPr>
              <w:contextualSpacing/>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件</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W w:w="0" w:type="auto"/>
            <w:vAlign w:val="center"/>
            <w:textDirection w:val="lrTb"/>
            <w:noWrap w:val="false"/>
          </w:tcPr>
          <w:p>
            <w:pPr>
              <w:pStyle w:val="746"/>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397" w:hRule="exact"/>
        </w:trPr>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4</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集水器 FJ125</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件</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W w:w="0" w:type="auto"/>
            <w:vAlign w:val="center"/>
            <w:textDirection w:val="lrTb"/>
            <w:noWrap w:val="false"/>
          </w:tcPr>
          <w:p>
            <w:pPr>
              <w:pStyle w:val="746"/>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397" w:hRule="exact"/>
        </w:trPr>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5</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卡式异径接口KJK80(雄)/65(雌)</w:t>
            </w:r>
            <w:r/>
          </w:p>
        </w:tc>
        <w:tc>
          <w:tcPr>
            <w:shd w:val="clear" w:color="auto" w:fill="auto"/>
            <w:tcW w:w="0" w:type="auto"/>
            <w:vAlign w:val="center"/>
            <w:textDirection w:val="lrTb"/>
            <w:noWrap w:val="false"/>
          </w:tcPr>
          <w:p>
            <w:pPr>
              <w:contextualSpacing/>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个</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shd w:val="clear" w:color="auto" w:fill="auto"/>
            <w:tcW w:w="0" w:type="auto"/>
            <w:vAlign w:val="center"/>
            <w:textDirection w:val="lrTb"/>
            <w:noWrap w:val="false"/>
          </w:tcPr>
          <w:p>
            <w:pPr>
              <w:pStyle w:val="746"/>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397" w:hRule="exact"/>
        </w:trPr>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6</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消防水带 16-80-20</w:t>
            </w:r>
            <w:r/>
          </w:p>
        </w:tc>
        <w:tc>
          <w:tcPr>
            <w:shd w:val="clear" w:color="auto" w:fill="auto"/>
            <w:tcW w:w="0" w:type="auto"/>
            <w:vAlign w:val="center"/>
            <w:textDirection w:val="lrTb"/>
            <w:noWrap w:val="false"/>
          </w:tcPr>
          <w:p>
            <w:pPr>
              <w:contextualSpacing/>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卷</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shd w:val="clear" w:color="auto" w:fill="auto"/>
            <w:tcW w:w="0" w:type="auto"/>
            <w:vAlign w:val="center"/>
            <w:textDirection w:val="lrTb"/>
            <w:noWrap w:val="false"/>
          </w:tcPr>
          <w:p>
            <w:pPr>
              <w:pStyle w:val="746"/>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397" w:hRule="exact"/>
        </w:trPr>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7</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消防水带 16-65-20</w:t>
            </w:r>
            <w:r/>
          </w:p>
        </w:tc>
        <w:tc>
          <w:tcPr>
            <w:shd w:val="clear" w:color="auto" w:fill="auto"/>
            <w:tcW w:w="0" w:type="auto"/>
            <w:vAlign w:val="center"/>
            <w:textDirection w:val="lrTb"/>
            <w:noWrap w:val="false"/>
          </w:tcPr>
          <w:p>
            <w:pPr>
              <w:contextualSpacing/>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卷</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shd w:val="clear" w:color="auto" w:fill="auto"/>
            <w:tcW w:w="0" w:type="auto"/>
            <w:vAlign w:val="center"/>
            <w:textDirection w:val="lrTb"/>
            <w:noWrap w:val="false"/>
          </w:tcPr>
          <w:p>
            <w:pPr>
              <w:pStyle w:val="746"/>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397" w:hRule="exact"/>
        </w:trPr>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8</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地上消防栓扳手</w:t>
            </w:r>
            <w:r/>
          </w:p>
        </w:tc>
        <w:tc>
          <w:tcPr>
            <w:shd w:val="clear" w:color="auto" w:fill="auto"/>
            <w:tcW w:w="0" w:type="auto"/>
            <w:vAlign w:val="center"/>
            <w:textDirection w:val="lrTb"/>
            <w:noWrap w:val="false"/>
          </w:tcPr>
          <w:p>
            <w:pPr>
              <w:contextualSpacing/>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把</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W w:w="0" w:type="auto"/>
            <w:vAlign w:val="center"/>
            <w:textDirection w:val="lrTb"/>
            <w:noWrap w:val="false"/>
          </w:tcPr>
          <w:p>
            <w:pPr>
              <w:pStyle w:val="746"/>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397" w:hRule="exact"/>
        </w:trPr>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9</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地下消防栓扳手</w:t>
            </w:r>
            <w:r/>
          </w:p>
        </w:tc>
        <w:tc>
          <w:tcPr>
            <w:shd w:val="clear" w:color="auto" w:fill="auto"/>
            <w:tcW w:w="0" w:type="auto"/>
            <w:vAlign w:val="center"/>
            <w:textDirection w:val="lrTb"/>
            <w:noWrap w:val="false"/>
          </w:tcPr>
          <w:p>
            <w:pPr>
              <w:contextualSpacing/>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把</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W w:w="0" w:type="auto"/>
            <w:vAlign w:val="center"/>
            <w:textDirection w:val="lrTb"/>
            <w:noWrap w:val="false"/>
          </w:tcPr>
          <w:p>
            <w:pPr>
              <w:pStyle w:val="746"/>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397" w:hRule="exact"/>
        </w:trPr>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10</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消防尖斧</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把</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W w:w="0" w:type="auto"/>
            <w:vAlign w:val="center"/>
            <w:textDirection w:val="lrTb"/>
            <w:noWrap w:val="false"/>
          </w:tcPr>
          <w:p>
            <w:pPr>
              <w:pStyle w:val="746"/>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397" w:hRule="exact"/>
        </w:trPr>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11</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水带护桥</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件</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shd w:val="clear" w:color="auto" w:fill="auto"/>
            <w:tcW w:w="0" w:type="auto"/>
            <w:vAlign w:val="center"/>
            <w:textDirection w:val="lrTb"/>
            <w:noWrap w:val="false"/>
          </w:tcPr>
          <w:p>
            <w:pPr>
              <w:pStyle w:val="746"/>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397" w:hRule="exact"/>
        </w:trPr>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12</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水带包布</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件</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shd w:val="clear" w:color="auto" w:fill="auto"/>
            <w:tcW w:w="0" w:type="auto"/>
            <w:vAlign w:val="center"/>
            <w:textDirection w:val="lrTb"/>
            <w:noWrap w:val="false"/>
          </w:tcPr>
          <w:p>
            <w:pPr>
              <w:pStyle w:val="746"/>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397" w:hRule="exact"/>
        </w:trPr>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13</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水带挂钩</w:t>
            </w:r>
            <w:r/>
          </w:p>
        </w:tc>
        <w:tc>
          <w:tcPr>
            <w:shd w:val="clear" w:color="auto" w:fill="auto"/>
            <w:tcW w:w="0" w:type="auto"/>
            <w:vAlign w:val="center"/>
            <w:textDirection w:val="lrTb"/>
            <w:noWrap w:val="false"/>
          </w:tcPr>
          <w:p>
            <w:pPr>
              <w:contextualSpacing/>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件</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8</w:t>
            </w:r>
            <w:r/>
          </w:p>
        </w:tc>
        <w:tc>
          <w:tcPr>
            <w:shd w:val="clear" w:color="auto" w:fill="auto"/>
            <w:tcW w:w="0" w:type="auto"/>
            <w:vAlign w:val="center"/>
            <w:textDirection w:val="lrTb"/>
            <w:noWrap w:val="false"/>
          </w:tcPr>
          <w:p>
            <w:pPr>
              <w:pStyle w:val="746"/>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397" w:hRule="exact"/>
        </w:trPr>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14</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橡皮锤</w:t>
            </w:r>
            <w:r/>
          </w:p>
        </w:tc>
        <w:tc>
          <w:tcPr>
            <w:shd w:val="clear" w:color="auto" w:fill="auto"/>
            <w:tcW w:w="0" w:type="auto"/>
            <w:vAlign w:val="center"/>
            <w:textDirection w:val="lrTb"/>
            <w:noWrap w:val="false"/>
          </w:tcPr>
          <w:p>
            <w:pPr>
              <w:contextualSpacing/>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把</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W w:w="0" w:type="auto"/>
            <w:vAlign w:val="center"/>
            <w:textDirection w:val="lrTb"/>
            <w:noWrap w:val="false"/>
          </w:tcPr>
          <w:p>
            <w:pPr>
              <w:pStyle w:val="746"/>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397" w:hRule="exact"/>
        </w:trPr>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15</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开关直流水枪</w:t>
            </w:r>
            <w:r/>
          </w:p>
        </w:tc>
        <w:tc>
          <w:tcPr>
            <w:shd w:val="clear" w:color="auto" w:fill="auto"/>
            <w:tcW w:w="0" w:type="auto"/>
            <w:vAlign w:val="center"/>
            <w:textDirection w:val="lrTb"/>
            <w:noWrap w:val="false"/>
          </w:tcPr>
          <w:p>
            <w:pPr>
              <w:contextualSpacing/>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把</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shd w:val="clear" w:color="auto" w:fill="auto"/>
            <w:tcW w:w="0" w:type="auto"/>
            <w:vAlign w:val="center"/>
            <w:textDirection w:val="lrTb"/>
            <w:noWrap w:val="false"/>
          </w:tcPr>
          <w:p>
            <w:pPr>
              <w:pStyle w:val="746"/>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397" w:hRule="exact"/>
        </w:trPr>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16</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导流式直流喷雾水枪</w:t>
            </w:r>
            <w:r/>
          </w:p>
        </w:tc>
        <w:tc>
          <w:tcPr>
            <w:shd w:val="clear" w:color="auto" w:fill="auto"/>
            <w:tcW w:w="0" w:type="auto"/>
            <w:vAlign w:val="center"/>
            <w:textDirection w:val="lrTb"/>
            <w:noWrap w:val="false"/>
          </w:tcPr>
          <w:p>
            <w:pPr>
              <w:contextualSpacing/>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把</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shd w:val="clear" w:color="auto" w:fill="auto"/>
            <w:tcW w:w="0" w:type="auto"/>
            <w:vAlign w:val="center"/>
            <w:textDirection w:val="lrTb"/>
            <w:noWrap w:val="false"/>
          </w:tcPr>
          <w:p>
            <w:pPr>
              <w:pStyle w:val="746"/>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397" w:hRule="exact"/>
        </w:trPr>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17</w:t>
            </w:r>
            <w:r/>
          </w:p>
        </w:tc>
        <w:tc>
          <w:tcPr>
            <w:shd w:val="clear" w:color="auto" w:fill="auto"/>
            <w:tcW w:w="0" w:type="auto"/>
            <w:vAlign w:val="center"/>
            <w:textDirection w:val="lrTb"/>
            <w:noWrap w:val="false"/>
          </w:tcPr>
          <w:p>
            <w:pPr>
              <w:contextualSpacing/>
              <w:jc w:val="center"/>
              <w:spacing w:line="360" w:lineRule="auto"/>
              <w:tabs>
                <w:tab w:val="left" w:pos="1680" w:leader="none"/>
              </w:tabs>
              <w:rPr>
                <w:rFonts w:hint="eastAsia" w:ascii="宋体" w:hAnsi="宋体" w:eastAsia="宋体" w:cs="宋体"/>
                <w:sz w:val="21"/>
                <w:szCs w:val="21"/>
              </w:rPr>
            </w:pPr>
            <w:r>
              <w:rPr>
                <w:rFonts w:hint="eastAsia" w:ascii="宋体" w:hAnsi="宋体" w:eastAsia="宋体" w:cs="宋体"/>
                <w:sz w:val="21"/>
                <w:szCs w:val="21"/>
              </w:rPr>
              <w:t xml:space="preserve">消防梯 6M</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件</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W w:w="0" w:type="auto"/>
            <w:vAlign w:val="center"/>
            <w:textDirection w:val="lrTb"/>
            <w:noWrap w:val="false"/>
          </w:tcPr>
          <w:p>
            <w:pPr>
              <w:pStyle w:val="746"/>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397" w:hRule="exact"/>
        </w:trPr>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18</w:t>
            </w:r>
            <w:r/>
          </w:p>
        </w:tc>
        <w:tc>
          <w:tcPr>
            <w:shd w:val="clear" w:color="auto" w:fill="auto"/>
            <w:tcW w:w="0" w:type="auto"/>
            <w:vAlign w:val="center"/>
            <w:textDirection w:val="lrTb"/>
            <w:noWrap w:val="false"/>
          </w:tcPr>
          <w:p>
            <w:pPr>
              <w:contextualSpacing/>
              <w:jc w:val="center"/>
              <w:spacing w:line="360" w:lineRule="auto"/>
              <w:tabs>
                <w:tab w:val="left" w:pos="2100" w:leader="none"/>
              </w:tabs>
              <w:rPr>
                <w:rFonts w:hint="eastAsia" w:ascii="宋体" w:hAnsi="宋体" w:eastAsia="宋体" w:cs="宋体"/>
                <w:sz w:val="21"/>
                <w:szCs w:val="21"/>
              </w:rPr>
            </w:pPr>
            <w:r>
              <w:rPr>
                <w:rFonts w:hint="eastAsia" w:ascii="宋体" w:hAnsi="宋体" w:eastAsia="宋体" w:cs="宋体"/>
                <w:sz w:val="21"/>
                <w:szCs w:val="21"/>
              </w:rPr>
              <w:t xml:space="preserve">勾头扳手</w:t>
            </w:r>
            <w:r/>
          </w:p>
        </w:tc>
        <w:tc>
          <w:tcPr>
            <w:shd w:val="clear" w:color="auto" w:fill="auto"/>
            <w:tcW w:w="0" w:type="auto"/>
            <w:vAlign w:val="center"/>
            <w:textDirection w:val="lrTb"/>
            <w:noWrap w:val="false"/>
          </w:tcPr>
          <w:p>
            <w:pPr>
              <w:contextualSpacing/>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把</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shd w:val="clear" w:color="auto" w:fill="auto"/>
            <w:tcW w:w="0" w:type="auto"/>
            <w:vAlign w:val="center"/>
            <w:textDirection w:val="lrTb"/>
            <w:noWrap w:val="false"/>
          </w:tcPr>
          <w:p>
            <w:pPr>
              <w:pStyle w:val="746"/>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397" w:hRule="exact"/>
        </w:trPr>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19</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活扳手</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把</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W w:w="0" w:type="auto"/>
            <w:vAlign w:val="center"/>
            <w:textDirection w:val="lrTb"/>
            <w:noWrap w:val="false"/>
          </w:tcPr>
          <w:p>
            <w:pPr>
              <w:pStyle w:val="746"/>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204"/>
        </w:trPr>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20</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内六角扳手3-17</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套</w:t>
            </w:r>
            <w:r/>
          </w:p>
        </w:tc>
        <w:tc>
          <w:tcPr>
            <w:shd w:val="clear" w:color="auto" w:fill="auto"/>
            <w:tcW w:w="0" w:type="auto"/>
            <w:vAlign w:val="center"/>
            <w:textDirection w:val="lrTb"/>
            <w:noWrap w:val="false"/>
          </w:tcPr>
          <w:p>
            <w:pPr>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shd w:val="clear" w:color="auto" w:fill="auto"/>
            <w:tcW w:w="0" w:type="auto"/>
            <w:vAlign w:val="center"/>
            <w:textDirection w:val="lrTb"/>
            <w:noWrap w:val="false"/>
          </w:tcPr>
          <w:p>
            <w:pPr>
              <w:pStyle w:val="746"/>
              <w:contextualSpacing/>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cs="宋体"/>
          <w:b/>
          <w:bCs/>
          <w:color w:val="auto"/>
          <w:sz w:val="21"/>
          <w:szCs w:val="21"/>
          <w:highlight w:val="none"/>
          <w:shd w:val="clear" w:color="auto" w:fill="auto"/>
          <w:lang w:val="en-US" w:eastAsia="zh-CN"/>
        </w:rPr>
      </w:pPr>
      <w:r>
        <w:rPr>
          <w:rFonts w:hint="eastAsia" w:ascii="宋体" w:hAnsi="宋体" w:cs="宋体"/>
          <w:b/>
          <w:bCs/>
          <w:color w:val="auto"/>
          <w:sz w:val="21"/>
          <w:szCs w:val="21"/>
          <w:highlight w:val="none"/>
          <w:shd w:val="clear" w:color="auto" w:fill="auto"/>
          <w:lang w:val="en-US" w:eastAsia="zh-CN"/>
        </w:rPr>
      </w:r>
      <w:r/>
    </w:p>
    <w:p>
      <w:pPr>
        <w:spacing w:line="360" w:lineRule="auto"/>
        <w:rPr>
          <w:rFonts w:hint="eastAsia" w:ascii="宋体" w:hAnsi="宋体" w:cs="宋体"/>
          <w:b/>
          <w:bCs/>
          <w:color w:val="ff0000"/>
          <w:sz w:val="28"/>
          <w:szCs w:val="28"/>
          <w:highlight w:val="none"/>
          <w:shd w:val="clear" w:color="auto" w:fill="auto"/>
          <w:lang w:val="en-US" w:eastAsia="zh-CN"/>
        </w:rPr>
      </w:pPr>
      <w:r>
        <w:rPr>
          <w:rFonts w:hint="eastAsia" w:ascii="宋体" w:hAnsi="宋体" w:cs="宋体"/>
          <w:b/>
          <w:bCs/>
          <w:color w:val="ff0000"/>
          <w:sz w:val="28"/>
          <w:szCs w:val="28"/>
          <w:highlight w:val="none"/>
          <w:shd w:val="clear" w:color="auto" w:fill="auto"/>
          <w:lang w:val="en-US" w:eastAsia="zh-CN"/>
        </w:rPr>
        <w:t xml:space="preserve">注：以上消防车要在提供的消防车品牌内购买，详见消防车品牌附件。</w:t>
      </w:r>
      <w:r/>
    </w:p>
    <w:p>
      <w:pPr>
        <w:spacing w:line="360" w:lineRule="auto"/>
        <w:rPr>
          <w:rFonts w:hint="eastAsia" w:ascii="宋体" w:hAnsi="宋体" w:cs="宋体"/>
          <w:b/>
          <w:color w:val="auto"/>
          <w:sz w:val="24"/>
          <w:szCs w:val="24"/>
          <w:highlight w:val="none"/>
          <w:shd w:val="clear" w:color="auto" w:fill="auto"/>
        </w:rPr>
      </w:pPr>
      <w:r>
        <w:rPr>
          <w:rFonts w:hint="eastAsia" w:ascii="宋体" w:hAnsi="宋体" w:cs="宋体"/>
          <w:b/>
          <w:color w:val="auto"/>
          <w:sz w:val="24"/>
          <w:szCs w:val="24"/>
          <w:highlight w:val="none"/>
          <w:shd w:val="clear" w:color="auto" w:fill="auto"/>
        </w:rPr>
      </w:r>
      <w:r/>
    </w:p>
    <w:p>
      <w:pPr>
        <w:spacing w:line="360" w:lineRule="auto"/>
        <w:rPr>
          <w:rFonts w:ascii="宋体" w:hAnsi="宋体" w:cs="宋体"/>
          <w:b/>
          <w:color w:val="auto"/>
          <w:sz w:val="24"/>
          <w:szCs w:val="24"/>
          <w:highlight w:val="none"/>
          <w:shd w:val="clear" w:color="auto" w:fill="auto"/>
          <w:lang w:val="zh-CN"/>
        </w:rPr>
      </w:pPr>
      <w:r>
        <w:rPr>
          <w:rFonts w:hint="eastAsia" w:ascii="宋体" w:hAnsi="宋体" w:cs="宋体"/>
          <w:b/>
          <w:color w:val="auto"/>
          <w:sz w:val="24"/>
          <w:szCs w:val="24"/>
          <w:highlight w:val="none"/>
          <w:shd w:val="clear" w:color="auto" w:fill="auto"/>
        </w:rPr>
        <w:t xml:space="preserve">五</w:t>
      </w:r>
      <w:r>
        <w:rPr>
          <w:rFonts w:hint="eastAsia" w:ascii="宋体" w:hAnsi="宋体" w:cs="宋体"/>
          <w:b/>
          <w:color w:val="auto"/>
          <w:sz w:val="24"/>
          <w:szCs w:val="24"/>
          <w:highlight w:val="none"/>
          <w:shd w:val="clear" w:color="auto" w:fill="auto"/>
          <w:lang w:val="zh-CN"/>
        </w:rPr>
        <w:t xml:space="preserve">、项目实施要求</w:t>
      </w:r>
      <w:r/>
    </w:p>
    <w:p>
      <w:pPr>
        <w:ind w:firstLine="480"/>
        <w:spacing w:line="360"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cs="宋体"/>
          <w:color w:val="auto"/>
          <w:sz w:val="24"/>
          <w:szCs w:val="24"/>
          <w:highlight w:val="none"/>
          <w:shd w:val="clear" w:color="auto" w:fill="auto"/>
        </w:rPr>
        <w:t xml:space="preserve">1、交货地点：</w:t>
      </w:r>
      <w:r>
        <w:rPr>
          <w:rFonts w:hint="eastAsia" w:ascii="宋体" w:hAnsi="宋体" w:cs="宋体"/>
          <w:color w:val="auto"/>
          <w:sz w:val="24"/>
          <w:szCs w:val="24"/>
          <w:highlight w:val="none"/>
          <w:shd w:val="clear" w:color="auto" w:fill="auto"/>
          <w:lang w:val="en-US" w:eastAsia="zh-CN"/>
        </w:rPr>
        <w:t xml:space="preserve">采购人</w:t>
      </w:r>
      <w:r>
        <w:rPr>
          <w:rFonts w:hint="eastAsia" w:ascii="宋体" w:hAnsi="宋体" w:cs="宋体"/>
          <w:color w:val="auto"/>
          <w:sz w:val="24"/>
          <w:szCs w:val="24"/>
          <w:highlight w:val="none"/>
          <w:shd w:val="clear" w:color="auto" w:fill="auto"/>
        </w:rPr>
        <w:t xml:space="preserve">指定地点</w:t>
      </w:r>
      <w:r>
        <w:rPr>
          <w:rFonts w:hint="eastAsia" w:ascii="宋体" w:hAnsi="宋体" w:cs="宋体"/>
          <w:color w:val="auto"/>
          <w:sz w:val="24"/>
          <w:szCs w:val="24"/>
          <w:highlight w:val="none"/>
          <w:shd w:val="clear" w:color="auto" w:fill="auto"/>
          <w:lang w:val="en-US" w:eastAsia="zh-CN"/>
        </w:rPr>
        <w:t xml:space="preserve">.</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2、</w:t>
      </w:r>
      <w:r>
        <w:rPr>
          <w:rFonts w:hint="eastAsia" w:ascii="宋体" w:hAnsi="宋体" w:cs="宋体"/>
          <w:color w:val="auto"/>
          <w:sz w:val="24"/>
          <w:szCs w:val="24"/>
          <w:highlight w:val="none"/>
          <w:shd w:val="clear" w:color="auto" w:fill="auto"/>
          <w:lang w:val="en-US" w:eastAsia="zh-CN"/>
        </w:rPr>
        <w:t xml:space="preserve">供货</w:t>
      </w:r>
      <w:r>
        <w:rPr>
          <w:rFonts w:hint="eastAsia" w:ascii="宋体" w:hAnsi="宋体" w:cs="宋体"/>
          <w:color w:val="auto"/>
          <w:sz w:val="24"/>
          <w:szCs w:val="24"/>
          <w:highlight w:val="none"/>
          <w:shd w:val="clear" w:color="auto" w:fill="auto"/>
        </w:rPr>
        <w:t xml:space="preserve">时间：合同签订之日起</w:t>
      </w:r>
      <w:r>
        <w:rPr>
          <w:rFonts w:hint="eastAsia" w:ascii="宋体" w:hAnsi="宋体" w:cs="宋体"/>
          <w:color w:val="auto"/>
          <w:sz w:val="24"/>
          <w:szCs w:val="24"/>
          <w:highlight w:val="none"/>
          <w:u w:val="single"/>
          <w:shd w:val="clear" w:color="auto" w:fill="auto"/>
          <w:lang w:val="en-US" w:eastAsia="zh-CN"/>
        </w:rPr>
        <w:t xml:space="preserve"> 30  </w:t>
      </w:r>
      <w:r>
        <w:rPr>
          <w:rFonts w:hint="eastAsia" w:ascii="宋体" w:hAnsi="宋体" w:cs="宋体"/>
          <w:color w:val="auto"/>
          <w:sz w:val="24"/>
          <w:szCs w:val="24"/>
          <w:highlight w:val="none"/>
          <w:shd w:val="clear" w:color="auto" w:fill="auto"/>
        </w:rPr>
        <w:t xml:space="preserve">日内交货并调试完毕。</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3、中标人应向采购人提供全方位、及时而有效的技术支持和服务。</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4、中标人负责供货、安装、调试、培训。</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5、交车时需提供车辆上牌手续及车辆使用说明书。</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6、中标人应缴纳车辆购置税的费用，并协助采购人办理车辆上牌手续。</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7</w:t>
      </w:r>
      <w:r>
        <w:rPr>
          <w:rFonts w:hint="eastAsia" w:ascii="宋体" w:hAnsi="宋体" w:cs="宋体"/>
          <w:color w:val="auto"/>
          <w:sz w:val="24"/>
          <w:szCs w:val="24"/>
          <w:highlight w:val="none"/>
          <w:shd w:val="clear" w:color="auto" w:fill="auto"/>
        </w:rPr>
        <w:t xml:space="preserve">、货物的生产、安装、维修、检验、验收等按照以下原则执行：</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有国家标准的执行国家标准；无国家标准的执行行业标准；无行业标准的执行地方标准；无地方标准的执行企业标准。</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8</w:t>
      </w:r>
      <w:r>
        <w:rPr>
          <w:rFonts w:hint="eastAsia" w:ascii="宋体" w:hAnsi="宋体" w:cs="宋体"/>
          <w:color w:val="auto"/>
          <w:sz w:val="24"/>
          <w:szCs w:val="24"/>
          <w:highlight w:val="none"/>
          <w:shd w:val="clear" w:color="auto" w:fill="auto"/>
        </w:rPr>
        <w:t xml:space="preserve">、所有货物（包括零部件）须为全新的、未使用过的原装正品，并完全符合国家质量标准，提供厂家出具的合格证书、有国家强制性认证要求的产品须提供3C证书，货物的技术参数及配置情况必须由供应商提供国家相关检测机构出具的检验报告、生产厂家公开发布的印刷资料等技术资料予以支持。没有技术资料支持的技术参数及配置不能视为响应。</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val="en-US" w:eastAsia="zh-CN"/>
        </w:rPr>
        <w:t xml:space="preserve">9</w:t>
      </w:r>
      <w:r>
        <w:rPr>
          <w:rFonts w:hint="eastAsia" w:ascii="宋体" w:hAnsi="宋体" w:cs="宋体"/>
          <w:color w:val="auto"/>
          <w:sz w:val="24"/>
          <w:szCs w:val="24"/>
          <w:highlight w:val="none"/>
          <w:shd w:val="clear" w:color="auto" w:fill="auto"/>
        </w:rPr>
        <w:t xml:space="preserve">、验收</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1）采购人和相关部门按照国家规定标准验收，没有国家标准的按行业标准验收，无行业标准的按地方或企业标准验收，中标人予以配合。涉及安全、消防、环保等其他需要由质检或行业主管部门验收的项目，采购人须约请相关部门和专家参加项目验收。</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（2）货物送到项目实施现场后，中标人与采购人一起按合同货物清单依合同标准进行货物验收。货物在验收时，投标人应提供发票、制造厂家出具的产品合格证书、装箱清单等, 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投标人提供的必要文件。</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验收中发现货物达不到验收标准或合同规定的性能指标，中标人必须更换，并且赔偿由此给采购人造成的损失。</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 验收时需提交的书面文件</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①</w:t>
      </w:r>
      <w:r>
        <w:rPr>
          <w:rFonts w:hint="eastAsia" w:ascii="宋体" w:hAnsi="宋体" w:eastAsia="宋体" w:cs="宋体"/>
          <w:color w:val="auto"/>
          <w:sz w:val="24"/>
          <w:szCs w:val="24"/>
          <w:highlight w:val="none"/>
          <w:shd w:val="clear" w:color="auto" w:fill="auto"/>
        </w:rPr>
        <w:t xml:space="preserve">采购标的的所有检测报告及证明文件复印件并加盖公章。</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②</w:t>
      </w:r>
      <w:r>
        <w:rPr>
          <w:rFonts w:hint="eastAsia" w:ascii="宋体" w:hAnsi="宋体" w:eastAsia="宋体" w:cs="宋体"/>
          <w:color w:val="auto"/>
          <w:sz w:val="24"/>
          <w:szCs w:val="24"/>
          <w:highlight w:val="none"/>
          <w:shd w:val="clear" w:color="auto" w:fill="auto"/>
        </w:rPr>
        <w:t xml:space="preserve">所有标的合格证明文件；</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③</w:t>
      </w:r>
      <w:r>
        <w:rPr>
          <w:rFonts w:hint="eastAsia" w:ascii="宋体" w:hAnsi="宋体" w:eastAsia="宋体" w:cs="宋体"/>
          <w:color w:val="auto"/>
          <w:sz w:val="24"/>
          <w:szCs w:val="24"/>
          <w:highlight w:val="none"/>
          <w:shd w:val="clear" w:color="auto" w:fill="auto"/>
        </w:rPr>
        <w:t xml:space="preserve">保修卡或保修手册；</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④车辆上牌手续及</w:t>
      </w:r>
      <w:r>
        <w:rPr>
          <w:rFonts w:hint="eastAsia" w:ascii="宋体" w:hAnsi="宋体" w:eastAsia="宋体" w:cs="宋体"/>
          <w:color w:val="auto"/>
          <w:sz w:val="24"/>
          <w:szCs w:val="24"/>
          <w:highlight w:val="none"/>
          <w:shd w:val="clear" w:color="auto" w:fill="auto"/>
        </w:rPr>
        <w:t xml:space="preserve">使用说明手册（中文）；</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⑤</w:t>
      </w:r>
      <w:r>
        <w:rPr>
          <w:rFonts w:hint="eastAsia" w:ascii="宋体" w:hAnsi="宋体" w:eastAsia="宋体" w:cs="宋体"/>
          <w:color w:val="auto"/>
          <w:sz w:val="24"/>
          <w:szCs w:val="24"/>
          <w:highlight w:val="none"/>
          <w:shd w:val="clear" w:color="auto" w:fill="auto"/>
        </w:rPr>
        <w:t xml:space="preserve">设备配置详单。</w:t>
      </w:r>
      <w:r/>
    </w:p>
    <w:p>
      <w:pPr>
        <w:jc w:val="left"/>
        <w:spacing w:line="360" w:lineRule="auto"/>
        <w:rPr>
          <w:rFonts w:hint="eastAsia" w:ascii="宋体" w:hAnsi="宋体" w:cs="宋体"/>
          <w:color w:val="auto"/>
          <w:sz w:val="24"/>
          <w:szCs w:val="24"/>
          <w:highlight w:val="none"/>
          <w:shd w:val="clear" w:color="auto" w:fill="auto"/>
        </w:rPr>
      </w:pPr>
      <w:r>
        <w:rPr>
          <w:rFonts w:hint="eastAsia" w:ascii="宋体" w:hAnsi="宋体" w:cs="宋体"/>
          <w:b/>
          <w:color w:val="auto"/>
          <w:sz w:val="24"/>
          <w:highlight w:val="none"/>
          <w:shd w:val="clear" w:color="auto" w:fill="auto"/>
        </w:rPr>
        <w:t xml:space="preserve">六</w:t>
      </w:r>
      <w:r>
        <w:rPr>
          <w:rFonts w:hint="eastAsia" w:ascii="宋体" w:hAnsi="宋体" w:cs="宋体"/>
          <w:b/>
          <w:color w:val="auto"/>
          <w:sz w:val="24"/>
          <w:highlight w:val="none"/>
          <w:shd w:val="clear" w:color="auto" w:fill="auto"/>
          <w:lang w:val="zh-CN" w:eastAsia="zh-Hans"/>
        </w:rPr>
        <w:t xml:space="preserve">、售后服务及质保要求</w:t>
      </w:r>
      <w:r/>
    </w:p>
    <w:p>
      <w:pPr>
        <w:ind w:firstLine="480"/>
        <w:spacing w:line="360" w:lineRule="auto"/>
        <w:rPr>
          <w:rFonts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1、中标人须提供至少</w:t>
      </w:r>
      <w:r>
        <w:rPr>
          <w:rFonts w:hint="eastAsia" w:ascii="宋体" w:hAnsi="宋体" w:cs="宋体"/>
          <w:color w:val="auto"/>
          <w:sz w:val="24"/>
          <w:szCs w:val="24"/>
          <w:highlight w:val="none"/>
          <w:u w:val="single"/>
          <w:shd w:val="clear" w:color="auto" w:fill="auto"/>
          <w:lang w:val="en-US" w:eastAsia="zh-CN"/>
        </w:rPr>
        <w:t xml:space="preserve">1</w:t>
      </w:r>
      <w:r>
        <w:rPr>
          <w:rFonts w:hint="eastAsia" w:ascii="宋体" w:hAnsi="宋体" w:cs="宋体"/>
          <w:color w:val="auto"/>
          <w:sz w:val="24"/>
          <w:szCs w:val="24"/>
          <w:highlight w:val="none"/>
          <w:shd w:val="clear" w:color="auto" w:fill="auto"/>
        </w:rPr>
        <w:t xml:space="preserve">年免费质保服务。在保修期内，一旦发生质量问题，供应商保证在接到通知1小时响应，24小时内必须上门或者出具详细的解决方案。质保期后，供应商提供终生技术服务，保证零配件的供给。</w:t>
      </w:r>
      <w:r/>
    </w:p>
    <w:p>
      <w:pPr>
        <w:ind w:firstLine="480"/>
        <w:jc w:val="left"/>
        <w:spacing w:line="348" w:lineRule="auto"/>
        <w:rPr>
          <w:rFonts w:ascii="宋体" w:hAnsi="宋体" w:cs="宋体"/>
          <w:bCs/>
          <w:color w:val="auto"/>
          <w:sz w:val="24"/>
          <w:highlight w:val="none"/>
          <w:shd w:val="clear" w:color="auto" w:fill="auto"/>
          <w:lang w:val="zh-CN" w:eastAsia="zh-Hans"/>
        </w:rPr>
      </w:pPr>
      <w:r>
        <w:rPr>
          <w:rFonts w:hint="eastAsia" w:ascii="宋体" w:hAnsi="宋体" w:cs="宋体"/>
          <w:bCs/>
          <w:color w:val="auto"/>
          <w:sz w:val="24"/>
          <w:highlight w:val="none"/>
          <w:shd w:val="clear" w:color="auto" w:fill="auto"/>
          <w:lang w:val="zh-CN" w:eastAsia="zh-Hans"/>
        </w:rPr>
        <w:t xml:space="preserve">2、所有质保费用均已包含在投标报价中，质保期满后，应提供优先的有偿售后服务及按不高于投标文件中主要配件、易损件清单所报价格供应原厂零配件等。</w:t>
      </w:r>
      <w:r/>
    </w:p>
    <w:p>
      <w:pPr>
        <w:ind w:firstLine="480"/>
        <w:spacing w:line="360" w:lineRule="auto"/>
        <w:rPr>
          <w:rFonts w:hint="eastAsia" w:ascii="宋体" w:hAnsi="宋体" w:eastAsia="宋体" w:cs="宋体"/>
          <w:sz w:val="24"/>
          <w:highlight w:val="none"/>
        </w:rPr>
      </w:pPr>
      <w:r>
        <w:rPr>
          <w:rFonts w:hint="eastAsia" w:ascii="宋体" w:hAnsi="宋体" w:cs="宋体"/>
          <w:bCs/>
          <w:color w:val="auto"/>
          <w:sz w:val="24"/>
          <w:highlight w:val="none"/>
          <w:shd w:val="clear" w:color="auto" w:fill="auto"/>
          <w:lang w:val="zh-CN" w:eastAsia="zh-Hans"/>
        </w:rPr>
        <w:t xml:space="preserve">3、中标人须设有维修服务电话，</w:t>
      </w:r>
      <w:r>
        <w:rPr>
          <w:rFonts w:hint="eastAsia" w:ascii="宋体" w:hAnsi="宋体" w:eastAsia="宋体" w:cs="宋体"/>
          <w:sz w:val="24"/>
          <w:highlight w:val="none"/>
        </w:rPr>
        <w:t xml:space="preserve">质保期内出现质量问题，供应商在接到通知后2小时内响应到场，完成维修或更换，并承担修理调换的费用；如货物经供应商3次维修仍不能达到本项目要求的质量标准，采购人有权退货并追究供应商的违约责任。未经使用人同意，维修维护使用的备品备件及易损件，不得为非原厂件。</w:t>
      </w:r>
      <w:r/>
    </w:p>
    <w:p>
      <w:pPr>
        <w:ind w:firstLine="480"/>
        <w:spacing w:line="36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采购人有权对供应商所供货物送检，如果不符合采购文件要求，供应商须承担相关费用和责任。</w:t>
      </w:r>
      <w:r/>
    </w:p>
    <w:p>
      <w:pPr>
        <w:ind w:firstLine="480"/>
        <w:jc w:val="left"/>
        <w:spacing w:line="348" w:lineRule="auto"/>
        <w:rPr>
          <w:rFonts w:hint="eastAsia" w:ascii="宋体" w:hAnsi="宋体" w:eastAsia="宋体" w:cs="宋体"/>
          <w:bCs/>
          <w:color w:val="auto"/>
          <w:sz w:val="24"/>
          <w:highlight w:val="none"/>
          <w:shd w:val="clear" w:color="auto" w:fill="auto"/>
          <w:lang w:val="zh-CN" w:eastAsia="zh-Hans"/>
        </w:rPr>
      </w:pPr>
      <w:r>
        <w:rPr>
          <w:rFonts w:hint="eastAsia" w:ascii="宋体" w:hAnsi="宋体" w:eastAsia="宋体" w:cs="宋体"/>
          <w:bCs/>
          <w:color w:val="auto"/>
          <w:sz w:val="24"/>
          <w:highlight w:val="none"/>
          <w:shd w:val="clear" w:color="auto" w:fill="auto"/>
          <w:lang w:val="en-US" w:eastAsia="zh-CN"/>
        </w:rPr>
        <w:t xml:space="preserve">5、</w:t>
      </w:r>
      <w:r>
        <w:rPr>
          <w:rFonts w:hint="eastAsia" w:ascii="宋体" w:hAnsi="宋体" w:eastAsia="宋体" w:cs="宋体"/>
          <w:bCs/>
          <w:color w:val="auto"/>
          <w:sz w:val="24"/>
          <w:highlight w:val="none"/>
          <w:shd w:val="clear" w:color="auto" w:fill="auto"/>
          <w:lang w:val="zh-CN" w:eastAsia="zh-Hans"/>
        </w:rPr>
        <w:t xml:space="preserve">技术培训要求</w:t>
      </w:r>
      <w:r/>
    </w:p>
    <w:p>
      <w:pPr>
        <w:ind w:firstLine="480"/>
        <w:jc w:val="left"/>
        <w:spacing w:line="348" w:lineRule="auto"/>
        <w:rPr>
          <w:rFonts w:hint="eastAsia" w:ascii="宋体" w:hAnsi="宋体" w:eastAsia="宋体" w:cs="宋体"/>
          <w:bCs/>
          <w:color w:val="auto"/>
          <w:sz w:val="24"/>
          <w:highlight w:val="none"/>
          <w:shd w:val="clear" w:color="auto" w:fill="auto"/>
          <w:lang w:val="zh-CN" w:eastAsia="zh-Hans"/>
        </w:rPr>
      </w:pPr>
      <w:r>
        <w:rPr>
          <w:rFonts w:hint="eastAsia" w:ascii="宋体" w:hAnsi="宋体" w:eastAsia="宋体" w:cs="宋体"/>
          <w:bCs/>
          <w:color w:val="auto"/>
          <w:sz w:val="24"/>
          <w:highlight w:val="none"/>
          <w:shd w:val="clear" w:color="auto" w:fill="auto"/>
          <w:lang w:val="zh-CN" w:eastAsia="zh-Hans"/>
        </w:rPr>
        <w:t xml:space="preserve">（</w:t>
      </w:r>
      <w:r>
        <w:rPr>
          <w:rFonts w:hint="eastAsia" w:ascii="宋体" w:hAnsi="宋体" w:eastAsia="宋体" w:cs="宋体"/>
          <w:bCs/>
          <w:color w:val="auto"/>
          <w:sz w:val="24"/>
          <w:highlight w:val="none"/>
          <w:shd w:val="clear" w:color="auto" w:fill="auto"/>
          <w:lang w:val="en-US" w:eastAsia="zh-CN"/>
        </w:rPr>
        <w:t xml:space="preserve">1</w:t>
      </w:r>
      <w:r>
        <w:rPr>
          <w:rFonts w:hint="eastAsia" w:ascii="宋体" w:hAnsi="宋体" w:eastAsia="宋体" w:cs="宋体"/>
          <w:bCs/>
          <w:color w:val="auto"/>
          <w:sz w:val="24"/>
          <w:highlight w:val="none"/>
          <w:shd w:val="clear" w:color="auto" w:fill="auto"/>
          <w:lang w:val="zh-CN" w:eastAsia="zh-Hans"/>
        </w:rPr>
        <w:t xml:space="preserve">）费用:</w:t>
      </w:r>
      <w:r>
        <w:rPr>
          <w:rFonts w:hint="eastAsia" w:ascii="宋体" w:hAnsi="宋体" w:eastAsia="宋体" w:cs="宋体"/>
          <w:bCs/>
          <w:color w:val="auto"/>
          <w:sz w:val="24"/>
          <w:highlight w:val="none"/>
          <w:shd w:val="clear" w:color="auto" w:fill="auto"/>
          <w:lang w:val="en-US" w:eastAsia="zh-CN"/>
        </w:rPr>
        <w:t xml:space="preserve">按照采购人要求，提供不少于2次</w:t>
      </w:r>
      <w:r>
        <w:rPr>
          <w:rFonts w:hint="eastAsia" w:ascii="宋体" w:hAnsi="宋体" w:eastAsia="宋体" w:cs="宋体"/>
          <w:bCs/>
          <w:color w:val="auto"/>
          <w:sz w:val="24"/>
          <w:highlight w:val="none"/>
          <w:shd w:val="clear" w:color="auto" w:fill="auto"/>
          <w:lang w:val="zh-CN" w:eastAsia="zh-Hans"/>
        </w:rPr>
        <w:t xml:space="preserve">免费</w:t>
      </w:r>
      <w:r>
        <w:rPr>
          <w:rFonts w:hint="eastAsia" w:ascii="宋体" w:hAnsi="宋体" w:eastAsia="宋体" w:cs="宋体"/>
          <w:bCs/>
          <w:color w:val="auto"/>
          <w:sz w:val="24"/>
          <w:highlight w:val="none"/>
          <w:shd w:val="clear" w:color="auto" w:fill="auto"/>
          <w:lang w:val="en-US" w:eastAsia="zh-CN"/>
        </w:rPr>
        <w:t xml:space="preserve">技术培训</w:t>
      </w:r>
      <w:r>
        <w:rPr>
          <w:rFonts w:hint="eastAsia" w:ascii="宋体" w:hAnsi="宋体" w:eastAsia="宋体" w:cs="宋体"/>
          <w:bCs/>
          <w:color w:val="auto"/>
          <w:sz w:val="24"/>
          <w:highlight w:val="none"/>
          <w:shd w:val="clear" w:color="auto" w:fill="auto"/>
          <w:lang w:val="zh-CN" w:eastAsia="zh-Hans"/>
        </w:rPr>
        <w:t xml:space="preserve">。</w:t>
      </w:r>
      <w:r/>
    </w:p>
    <w:p>
      <w:pPr>
        <w:ind w:firstLine="480"/>
        <w:jc w:val="left"/>
        <w:spacing w:line="348" w:lineRule="auto"/>
        <w:rPr>
          <w:rFonts w:hint="eastAsia" w:ascii="宋体" w:hAnsi="宋体" w:eastAsia="宋体" w:cs="宋体"/>
          <w:bCs/>
          <w:color w:val="auto"/>
          <w:sz w:val="24"/>
          <w:highlight w:val="none"/>
          <w:shd w:val="clear" w:color="auto" w:fill="auto"/>
          <w:lang w:val="zh-CN" w:eastAsia="zh-Hans"/>
        </w:rPr>
      </w:pPr>
      <w:r>
        <w:rPr>
          <w:rFonts w:hint="eastAsia" w:ascii="宋体" w:hAnsi="宋体" w:eastAsia="宋体" w:cs="宋体"/>
          <w:bCs/>
          <w:color w:val="auto"/>
          <w:sz w:val="24"/>
          <w:highlight w:val="none"/>
          <w:shd w:val="clear" w:color="auto" w:fill="auto"/>
          <w:lang w:val="zh-CN" w:eastAsia="zh-Hans"/>
        </w:rPr>
        <w:t xml:space="preserve">（</w:t>
      </w:r>
      <w:r>
        <w:rPr>
          <w:rFonts w:hint="eastAsia" w:ascii="宋体" w:hAnsi="宋体" w:eastAsia="宋体" w:cs="宋体"/>
          <w:bCs/>
          <w:color w:val="auto"/>
          <w:sz w:val="24"/>
          <w:highlight w:val="none"/>
          <w:shd w:val="clear" w:color="auto" w:fill="auto"/>
          <w:lang w:val="en-US" w:eastAsia="zh-CN"/>
        </w:rPr>
        <w:t xml:space="preserve">2</w:t>
      </w:r>
      <w:r>
        <w:rPr>
          <w:rFonts w:hint="eastAsia" w:ascii="宋体" w:hAnsi="宋体" w:eastAsia="宋体" w:cs="宋体"/>
          <w:bCs/>
          <w:color w:val="auto"/>
          <w:sz w:val="24"/>
          <w:highlight w:val="none"/>
          <w:shd w:val="clear" w:color="auto" w:fill="auto"/>
          <w:lang w:val="zh-CN" w:eastAsia="zh-Hans"/>
        </w:rPr>
        <w:t xml:space="preserve">）内容：操作、</w:t>
      </w:r>
      <w:r>
        <w:rPr>
          <w:rFonts w:hint="eastAsia" w:ascii="宋体" w:hAnsi="宋体" w:eastAsia="宋体" w:cs="宋体"/>
          <w:bCs/>
          <w:color w:val="auto"/>
          <w:sz w:val="24"/>
          <w:highlight w:val="none"/>
          <w:shd w:val="clear" w:color="auto" w:fill="auto"/>
          <w:lang w:val="en-US" w:eastAsia="zh-CN"/>
        </w:rPr>
        <w:t xml:space="preserve">维护保养</w:t>
      </w:r>
      <w:r>
        <w:rPr>
          <w:rFonts w:hint="eastAsia" w:ascii="宋体" w:hAnsi="宋体" w:eastAsia="宋体" w:cs="宋体"/>
          <w:bCs/>
          <w:color w:val="auto"/>
          <w:sz w:val="24"/>
          <w:highlight w:val="none"/>
          <w:shd w:val="clear" w:color="auto" w:fill="auto"/>
          <w:lang w:val="zh-CN" w:eastAsia="zh-Hans"/>
        </w:rPr>
        <w:t xml:space="preserve">、简单的故障诊断与排除。</w:t>
      </w:r>
      <w:r/>
    </w:p>
    <w:p>
      <w:pPr>
        <w:ind w:firstLine="480"/>
        <w:jc w:val="left"/>
        <w:spacing w:line="348" w:lineRule="auto"/>
        <w:rPr>
          <w:rFonts w:hint="eastAsia" w:ascii="宋体" w:hAnsi="宋体" w:eastAsia="宋体" w:cs="宋体"/>
          <w:bCs/>
          <w:color w:val="auto"/>
          <w:sz w:val="24"/>
          <w:highlight w:val="none"/>
          <w:shd w:val="clear" w:color="auto" w:fill="auto"/>
          <w:lang w:val="zh-CN" w:eastAsia="zh-Hans"/>
        </w:rPr>
      </w:pPr>
      <w:r>
        <w:rPr>
          <w:rFonts w:hint="eastAsia" w:ascii="宋体" w:hAnsi="宋体" w:eastAsia="宋体" w:cs="宋体"/>
          <w:bCs/>
          <w:color w:val="auto"/>
          <w:sz w:val="24"/>
          <w:highlight w:val="none"/>
          <w:shd w:val="clear" w:color="auto" w:fill="auto"/>
          <w:lang w:val="zh-CN" w:eastAsia="zh-Hans"/>
        </w:rPr>
        <w:t xml:space="preserve">（</w:t>
      </w:r>
      <w:r>
        <w:rPr>
          <w:rFonts w:hint="eastAsia" w:ascii="宋体" w:hAnsi="宋体" w:eastAsia="宋体" w:cs="宋体"/>
          <w:bCs/>
          <w:color w:val="auto"/>
          <w:sz w:val="24"/>
          <w:highlight w:val="none"/>
          <w:shd w:val="clear" w:color="auto" w:fill="auto"/>
          <w:lang w:val="en-US" w:eastAsia="zh-CN"/>
        </w:rPr>
        <w:t xml:space="preserve">3</w:t>
      </w:r>
      <w:r>
        <w:rPr>
          <w:rFonts w:hint="eastAsia" w:ascii="宋体" w:hAnsi="宋体" w:eastAsia="宋体" w:cs="宋体"/>
          <w:bCs/>
          <w:color w:val="auto"/>
          <w:sz w:val="24"/>
          <w:highlight w:val="none"/>
          <w:shd w:val="clear" w:color="auto" w:fill="auto"/>
          <w:lang w:val="zh-CN" w:eastAsia="zh-Hans"/>
        </w:rPr>
        <w:t xml:space="preserve">）效果：能够独立操作；能够独立日常维护与保养；能够进行简单的故障诊断与排除。</w:t>
      </w:r>
      <w:r/>
    </w:p>
    <w:p>
      <w:pPr>
        <w:ind w:firstLine="480"/>
        <w:jc w:val="left"/>
        <w:spacing w:line="348" w:lineRule="auto"/>
        <w:rPr>
          <w:rFonts w:hint="eastAsia" w:ascii="宋体" w:hAnsi="宋体" w:eastAsia="宋体" w:cs="宋体"/>
          <w:bCs/>
          <w:color w:val="auto"/>
          <w:sz w:val="24"/>
          <w:highlight w:val="none"/>
          <w:shd w:val="clear" w:color="auto" w:fill="auto"/>
          <w:lang w:val="zh-CN" w:eastAsia="zh-Hans"/>
        </w:rPr>
      </w:pPr>
      <w:r>
        <w:rPr>
          <w:rFonts w:hint="eastAsia" w:ascii="宋体" w:hAnsi="宋体" w:eastAsia="宋体" w:cs="宋体"/>
          <w:bCs/>
          <w:color w:val="auto"/>
          <w:sz w:val="24"/>
          <w:highlight w:val="none"/>
          <w:shd w:val="clear" w:color="auto" w:fill="auto"/>
          <w:lang w:val="en-US" w:eastAsia="zh-CN"/>
        </w:rPr>
        <w:t xml:space="preserve">6、</w:t>
      </w:r>
      <w:r>
        <w:rPr>
          <w:rFonts w:hint="eastAsia" w:ascii="宋体" w:hAnsi="宋体" w:eastAsia="宋体" w:cs="宋体"/>
          <w:bCs/>
          <w:color w:val="auto"/>
          <w:sz w:val="24"/>
          <w:highlight w:val="none"/>
          <w:shd w:val="clear" w:color="auto" w:fill="auto"/>
          <w:lang w:val="zh-CN" w:eastAsia="zh-Hans"/>
        </w:rPr>
        <w:t xml:space="preserve">从产品验收合格交付使用之日起，任何由制造、设计原因引起的损坏，应由中标人负责进行终身免费维修。</w:t>
      </w:r>
      <w:r/>
    </w:p>
    <w:p>
      <w:pPr>
        <w:ind w:firstLine="480"/>
        <w:jc w:val="left"/>
        <w:spacing w:line="348" w:lineRule="auto"/>
        <w:rPr>
          <w:rFonts w:hint="eastAsia" w:ascii="宋体" w:hAnsi="宋体" w:eastAsia="宋体" w:cs="宋体"/>
          <w:bCs/>
          <w:color w:val="auto"/>
          <w:sz w:val="24"/>
          <w:highlight w:val="none"/>
          <w:shd w:val="clear" w:color="auto" w:fill="auto"/>
          <w:lang w:val="zh-CN" w:eastAsia="zh-Hans"/>
        </w:rPr>
      </w:pPr>
      <w:r>
        <w:rPr>
          <w:rFonts w:hint="eastAsia" w:ascii="宋体" w:hAnsi="宋体" w:eastAsia="宋体" w:cs="宋体"/>
          <w:bCs/>
          <w:color w:val="auto"/>
          <w:sz w:val="24"/>
          <w:highlight w:val="none"/>
          <w:shd w:val="clear" w:color="auto" w:fill="auto"/>
          <w:lang w:val="en-US" w:eastAsia="zh-CN"/>
        </w:rPr>
        <w:t xml:space="preserve">7、</w:t>
      </w:r>
      <w:r>
        <w:rPr>
          <w:rFonts w:hint="eastAsia" w:ascii="宋体" w:hAnsi="宋体" w:eastAsia="宋体" w:cs="宋体"/>
          <w:bCs/>
          <w:color w:val="auto"/>
          <w:sz w:val="24"/>
          <w:highlight w:val="none"/>
          <w:shd w:val="clear" w:color="auto" w:fill="auto"/>
          <w:lang w:val="zh-CN" w:eastAsia="zh-Hans"/>
        </w:rPr>
        <w:t xml:space="preserve">备品备件要求：中标人应具有零备件仓库，并保证零配件的终身供应，且需按产品出厂规定提供随机备品备件、随机易损件、特殊专用工具附件等。</w:t>
      </w:r>
      <w:r/>
    </w:p>
    <w:p>
      <w:pPr>
        <w:pStyle w:val="935"/>
        <w:rPr>
          <w:lang w:val="zh-CN" w:eastAsia="zh-Hans"/>
        </w:rPr>
      </w:pPr>
      <w:r>
        <w:rPr>
          <w:lang w:val="zh-CN" w:eastAsia="zh-Hans"/>
        </w:rPr>
      </w:r>
      <w:r/>
    </w:p>
    <w:p>
      <w:pPr>
        <w:jc w:val="left"/>
        <w:spacing w:line="348" w:lineRule="auto"/>
        <w:rPr>
          <w:rFonts w:ascii="宋体" w:hAnsi="宋体" w:cs="宋体"/>
          <w:b/>
          <w:color w:val="auto"/>
          <w:sz w:val="24"/>
          <w:highlight w:val="none"/>
          <w:shd w:val="clear" w:color="auto" w:fill="auto"/>
          <w:lang w:val="zh-CN" w:eastAsia="zh-Hans"/>
        </w:rPr>
      </w:pPr>
      <w:r>
        <w:rPr>
          <w:rFonts w:hint="eastAsia" w:ascii="宋体" w:hAnsi="宋体" w:cs="宋体"/>
          <w:b/>
          <w:color w:val="auto"/>
          <w:sz w:val="24"/>
          <w:highlight w:val="none"/>
          <w:shd w:val="clear" w:color="auto" w:fill="auto"/>
          <w:lang w:val="zh-CN" w:eastAsia="zh-Hans"/>
        </w:rPr>
        <w:t xml:space="preserve">七、其他要求</w:t>
      </w:r>
      <w:r/>
    </w:p>
    <w:p>
      <w:pPr>
        <w:ind w:firstLine="480"/>
        <w:spacing w:line="348" w:lineRule="auto"/>
        <w:rPr>
          <w:rFonts w:ascii="宋体" w:hAnsi="宋体" w:cs="宋体"/>
          <w:color w:val="auto"/>
          <w:sz w:val="24"/>
          <w:szCs w:val="24"/>
          <w:highlight w:val="none"/>
          <w:shd w:val="clear" w:color="auto" w:fill="auto"/>
          <w:lang w:val="zh-CN"/>
        </w:rPr>
      </w:pPr>
      <w:r>
        <w:rPr>
          <w:rFonts w:hint="eastAsia" w:ascii="宋体" w:hAnsi="宋体" w:cs="宋体"/>
          <w:color w:val="auto"/>
          <w:sz w:val="24"/>
          <w:szCs w:val="24"/>
          <w:highlight w:val="none"/>
          <w:shd w:val="clear" w:color="auto" w:fill="auto"/>
        </w:rPr>
        <w:t xml:space="preserve">1</w:t>
      </w:r>
      <w:r>
        <w:rPr>
          <w:rFonts w:hint="eastAsia" w:ascii="宋体" w:hAnsi="宋体" w:cs="宋体"/>
          <w:color w:val="auto"/>
          <w:sz w:val="24"/>
          <w:szCs w:val="24"/>
          <w:highlight w:val="none"/>
          <w:shd w:val="clear" w:color="auto" w:fill="auto"/>
          <w:lang w:val="zh-CN"/>
        </w:rPr>
        <w:t xml:space="preserve">、验收合格并不免除在质保期内中标人应负的责任。</w:t>
      </w:r>
      <w:r/>
    </w:p>
    <w:p>
      <w:pPr>
        <w:ind w:firstLine="480"/>
        <w:spacing w:line="348" w:lineRule="auto"/>
        <w:rPr>
          <w:rFonts w:ascii="宋体" w:hAnsi="宋体" w:cs="宋体"/>
          <w:color w:val="auto"/>
          <w:sz w:val="24"/>
          <w:szCs w:val="24"/>
          <w:highlight w:val="none"/>
          <w:shd w:val="clear" w:color="auto" w:fill="auto"/>
          <w:lang w:val="zh-CN"/>
        </w:rPr>
      </w:pPr>
      <w:r>
        <w:rPr>
          <w:rFonts w:hint="eastAsia" w:ascii="宋体" w:hAnsi="宋体" w:cs="宋体"/>
          <w:color w:val="auto"/>
          <w:sz w:val="24"/>
          <w:szCs w:val="24"/>
          <w:highlight w:val="none"/>
          <w:shd w:val="clear" w:color="auto" w:fill="auto"/>
        </w:rPr>
        <w:t xml:space="preserve">2</w:t>
      </w:r>
      <w:r>
        <w:rPr>
          <w:rFonts w:hint="eastAsia" w:ascii="宋体" w:hAnsi="宋体" w:cs="宋体"/>
          <w:color w:val="auto"/>
          <w:sz w:val="24"/>
          <w:szCs w:val="24"/>
          <w:highlight w:val="none"/>
          <w:shd w:val="clear" w:color="auto" w:fill="auto"/>
          <w:lang w:val="zh-CN"/>
        </w:rPr>
        <w:t xml:space="preserve">、其它要求见招标文件《拟签订的合同文本》。</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rPr>
          <w:rFonts w:hint="eastAsia"/>
          <w:lang w:val="en-US" w:eastAsia="zh-CN"/>
        </w:rP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ascii="宋体" w:hAnsi="宋体" w:eastAsia="宋体" w:cs="宋体"/>
          <w:sz w:val="30"/>
          <w:szCs w:val="30"/>
          <w:lang w:eastAsia="zh-CN"/>
        </w:rPr>
      </w:pPr>
      <w:r>
        <w:rPr>
          <w:rFonts w:hint="eastAsia"/>
          <w:lang w:val="en-US" w:eastAsia="zh-CN"/>
        </w:rPr>
        <w:t xml:space="preserve">    </w:t>
      </w:r>
      <w:r>
        <w:rPr>
          <w:rFonts w:hint="eastAsia" w:ascii="宋体" w:hAnsi="宋体" w:eastAsia="宋体" w:cs="宋体"/>
          <w:sz w:val="30"/>
          <w:szCs w:val="30"/>
          <w:lang w:eastAsia="zh-CN"/>
        </w:rPr>
        <w:t xml:space="preserve">消防车品牌附件：</w:t>
      </w:r>
      <w:r/>
    </w:p>
    <w:tbl>
      <w:tblPr>
        <w:tblStyle w:val="708"/>
        <w:tblW w:w="9115" w:type="dxa"/>
        <w:tblInd w:w="1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0"/>
        <w:gridCol w:w="8005"/>
      </w:tblGrid>
      <w:tr>
        <w:trPr>
          <w:cantSplit/>
          <w:trHeight w:val="1044"/>
        </w:trPr>
        <w:tc>
          <w:tcPr>
            <w:tcW w:w="1110" w:type="dxa"/>
            <w:vAlign w:val="center"/>
            <w:textDirection w:val="lrTb"/>
            <w:noWrap w:val="false"/>
          </w:tcPr>
          <w:p>
            <w:pPr>
              <w:rPr>
                <w:rFonts w:hint="eastAsia" w:ascii="宋体" w:hAnsi="宋体" w:eastAsia="宋体" w:cs="宋体"/>
                <w:sz w:val="30"/>
                <w:szCs w:val="30"/>
              </w:rPr>
            </w:pPr>
            <w:r>
              <w:rPr>
                <w:rFonts w:hint="eastAsia" w:ascii="宋体" w:hAnsi="宋体" w:eastAsia="宋体" w:cs="宋体"/>
                <w:sz w:val="30"/>
                <w:szCs w:val="30"/>
              </w:rPr>
            </w:r>
            <w:r/>
          </w:p>
        </w:tc>
        <w:tc>
          <w:tcPr>
            <w:tcW w:w="8005"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vertAlign w:val="baseline"/>
                <w:lang w:eastAsia="zh-CN"/>
              </w:rPr>
              <w:t xml:space="preserve">消防车十大品牌</w:t>
            </w:r>
            <w:r/>
          </w:p>
        </w:tc>
      </w:tr>
      <w:tr>
        <w:trPr>
          <w:cantSplit/>
          <w:trHeight w:val="804"/>
        </w:trPr>
        <w:tc>
          <w:tcPr>
            <w:tcW w:w="111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t xml:space="preserve">1</w:t>
            </w:r>
            <w:r/>
          </w:p>
        </w:tc>
        <w:tc>
          <w:tcPr>
            <w:tcW w:w="8005"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i w:val="0"/>
                <w:iCs w:val="0"/>
                <w:caps w:val="0"/>
                <w:color w:val="000000"/>
                <w:spacing w:val="0"/>
                <w:sz w:val="30"/>
                <w:szCs w:val="30"/>
                <w:shd w:val="clear" w:color="auto" w:fill="ffffff"/>
              </w:rPr>
              <w:t xml:space="preserve">中集天达控股有限公司</w:t>
            </w:r>
            <w:r/>
          </w:p>
        </w:tc>
      </w:tr>
      <w:tr>
        <w:trPr>
          <w:cantSplit/>
          <w:trHeight w:val="817"/>
        </w:trPr>
        <w:tc>
          <w:tcPr>
            <w:tcW w:w="111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t xml:space="preserve">2</w:t>
            </w:r>
            <w:r/>
          </w:p>
        </w:tc>
        <w:tc>
          <w:tcPr>
            <w:tcW w:w="8005"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i w:val="0"/>
                <w:iCs w:val="0"/>
                <w:caps w:val="0"/>
                <w:color w:val="000000"/>
                <w:spacing w:val="0"/>
                <w:sz w:val="30"/>
                <w:szCs w:val="30"/>
                <w:shd w:val="clear" w:color="auto" w:fill="ffffff"/>
              </w:rPr>
              <w:t xml:space="preserve">萃联（中国）消防设备制造有限公司</w:t>
            </w:r>
            <w:r/>
          </w:p>
        </w:tc>
      </w:tr>
      <w:tr>
        <w:trPr>
          <w:cantSplit/>
          <w:trHeight w:val="962"/>
        </w:trPr>
        <w:tc>
          <w:tcPr>
            <w:tcW w:w="111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t xml:space="preserve">3</w:t>
            </w:r>
            <w:r/>
          </w:p>
        </w:tc>
        <w:tc>
          <w:tcPr>
            <w:tcW w:w="8005"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t xml:space="preserve">上海格拉曼国际消防装备有限公司</w:t>
            </w:r>
            <w:r/>
          </w:p>
        </w:tc>
      </w:tr>
      <w:tr>
        <w:trPr>
          <w:cantSplit/>
          <w:trHeight w:val="869"/>
        </w:trPr>
        <w:tc>
          <w:tcPr>
            <w:tcW w:w="111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t xml:space="preserve">4</w:t>
            </w:r>
            <w:r/>
          </w:p>
        </w:tc>
        <w:tc>
          <w:tcPr>
            <w:tcW w:w="8005"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t xml:space="preserve">北京中卓时代消防工程有限公司</w:t>
            </w:r>
            <w:r/>
          </w:p>
        </w:tc>
      </w:tr>
      <w:tr>
        <w:trPr>
          <w:cantSplit/>
          <w:trHeight w:val="804"/>
        </w:trPr>
        <w:tc>
          <w:tcPr>
            <w:tcW w:w="111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t xml:space="preserve">5</w:t>
            </w:r>
            <w:r/>
          </w:p>
        </w:tc>
        <w:tc>
          <w:tcPr>
            <w:tcW w:w="8005"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t xml:space="preserve">陕西银河消防科技装备股份有限公司</w:t>
            </w:r>
            <w:r/>
          </w:p>
        </w:tc>
      </w:tr>
      <w:tr>
        <w:trPr>
          <w:cantSplit/>
          <w:trHeight w:val="804"/>
        </w:trPr>
        <w:tc>
          <w:tcPr>
            <w:tcW w:w="111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t xml:space="preserve">6</w:t>
            </w:r>
            <w:r/>
          </w:p>
        </w:tc>
        <w:tc>
          <w:tcPr>
            <w:tcW w:w="8005"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t xml:space="preserve">捷达消防科技（苏州）股份有限公司</w:t>
            </w:r>
            <w:r/>
          </w:p>
        </w:tc>
      </w:tr>
      <w:tr>
        <w:trPr>
          <w:cantSplit/>
          <w:trHeight w:val="804"/>
        </w:trPr>
        <w:tc>
          <w:tcPr>
            <w:tcW w:w="111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t xml:space="preserve">7</w:t>
            </w:r>
            <w:r/>
          </w:p>
        </w:tc>
        <w:tc>
          <w:tcPr>
            <w:tcW w:w="8005"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t xml:space="preserve">上海金盾消防安全设备有限公司</w:t>
            </w:r>
            <w:r/>
          </w:p>
        </w:tc>
      </w:tr>
      <w:tr>
        <w:trPr>
          <w:cantSplit/>
          <w:trHeight w:val="804"/>
        </w:trPr>
        <w:tc>
          <w:tcPr>
            <w:tcW w:w="111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t xml:space="preserve">8</w:t>
            </w:r>
            <w:r/>
          </w:p>
        </w:tc>
        <w:tc>
          <w:tcPr>
            <w:tcW w:w="8005"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i w:val="0"/>
                <w:iCs w:val="0"/>
                <w:caps w:val="0"/>
                <w:color w:val="000000"/>
                <w:spacing w:val="0"/>
                <w:sz w:val="30"/>
                <w:szCs w:val="30"/>
                <w:shd w:val="clear" w:color="auto" w:fill="ffffff"/>
              </w:rPr>
              <w:t xml:space="preserve">中联重科股份有限公司</w:t>
            </w:r>
            <w:r/>
          </w:p>
        </w:tc>
      </w:tr>
      <w:tr>
        <w:trPr>
          <w:cantSplit/>
          <w:trHeight w:val="804"/>
        </w:trPr>
        <w:tc>
          <w:tcPr>
            <w:tcW w:w="111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t xml:space="preserve">9</w:t>
            </w:r>
            <w:r/>
          </w:p>
        </w:tc>
        <w:tc>
          <w:tcPr>
            <w:tcW w:w="8005"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i w:val="0"/>
                <w:iCs w:val="0"/>
                <w:caps w:val="0"/>
                <w:color w:val="000000"/>
                <w:spacing w:val="0"/>
                <w:sz w:val="30"/>
                <w:szCs w:val="30"/>
                <w:shd w:val="clear" w:color="auto" w:fill="ffffff"/>
              </w:rPr>
              <w:t xml:space="preserve">徐州工程机械集团有限公司</w:t>
            </w:r>
            <w:r/>
          </w:p>
        </w:tc>
      </w:tr>
      <w:tr>
        <w:trPr>
          <w:cantSplit/>
          <w:trHeight w:val="816"/>
        </w:trPr>
        <w:tc>
          <w:tcPr>
            <w:tcW w:w="1110"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sz w:val="30"/>
                <w:szCs w:val="30"/>
              </w:rPr>
              <w:t xml:space="preserve">10</w:t>
            </w:r>
            <w:r/>
          </w:p>
        </w:tc>
        <w:tc>
          <w:tcPr>
            <w:tcW w:w="8005" w:type="dxa"/>
            <w:vAlign w:val="center"/>
            <w:textDirection w:val="lrTb"/>
            <w:noWrap w:val="false"/>
          </w:tcPr>
          <w:p>
            <w:pPr>
              <w:jc w:val="center"/>
              <w:rPr>
                <w:rFonts w:hint="eastAsia" w:ascii="宋体" w:hAnsi="宋体" w:eastAsia="宋体" w:cs="宋体"/>
                <w:sz w:val="30"/>
                <w:szCs w:val="30"/>
              </w:rPr>
            </w:pPr>
            <w:r>
              <w:rPr>
                <w:rFonts w:hint="eastAsia" w:ascii="宋体" w:hAnsi="宋体" w:eastAsia="宋体" w:cs="宋体"/>
                <w:i w:val="0"/>
                <w:iCs w:val="0"/>
                <w:caps w:val="0"/>
                <w:color w:val="000000"/>
                <w:spacing w:val="0"/>
                <w:sz w:val="30"/>
                <w:szCs w:val="30"/>
                <w:shd w:val="clear" w:color="auto" w:fill="ffffff"/>
              </w:rPr>
              <w:t xml:space="preserve">三一重工股份有限公司</w:t>
            </w:r>
            <w:r/>
          </w:p>
        </w:tc>
      </w:tr>
    </w:tbl>
    <w:p>
      <w:pPr>
        <w:pStyle w:val="720"/>
        <w:rPr>
          <w:rFonts w:hint="eastAsia"/>
          <w:lang w:val="en-US" w:eastAsia="zh-CN"/>
        </w:rPr>
        <w:sectPr>
          <w:headerReference w:type="default" r:id="rId10"/>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lang w:val="en-US" w:eastAsia="zh-CN"/>
        </w:rPr>
      </w:r>
      <w:r/>
    </w:p>
    <w:p>
      <w:pPr>
        <w:jc w:val="center"/>
        <w:pageBreakBefore/>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第七章  投标文件相关格式</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 投标函</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开标一览表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 分项价格表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4．偏离表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 授权委托书</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 中小企业声明函</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 投标人参加政府采购活动前3年内在经营活动中没有重大违法记录的书面声明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 残疾人福利性单位声明函</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 </w:t>
      </w:r>
      <w:r>
        <w:rPr>
          <w:rFonts w:hint="eastAsia" w:ascii="宋体" w:hAnsi="宋体" w:eastAsia="宋体" w:cs="宋体"/>
          <w:bCs/>
          <w:color w:val="000000" w:themeColor="text1"/>
          <w:sz w:val="24"/>
          <w:highlight w:val="none"/>
          <w14:textFill>
            <w14:solidFill>
              <w14:schemeClr w14:val="tx1"/>
            </w14:solidFill>
          </w14:textFill>
        </w:rPr>
        <w:t xml:space="preserve">具备履行合同所必需的设备和专业技术能力的书面声明（附证明材料的扫描件）</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10.投标人相关承诺</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11.投标人书面声明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12.</w:t>
      </w:r>
      <w:r>
        <w:rPr>
          <w:rFonts w:hint="eastAsia" w:ascii="宋体" w:hAnsi="宋体" w:eastAsia="宋体" w:cs="宋体"/>
          <w:color w:val="000000"/>
          <w:sz w:val="24"/>
          <w:szCs w:val="24"/>
        </w:rPr>
        <w:t xml:space="preserve">预付款保函支付条款</w:t>
      </w:r>
      <w:r/>
    </w:p>
    <w:p>
      <w:pPr>
        <w:pStyle w:val="73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923"/>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923"/>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923"/>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923"/>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923"/>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923"/>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923"/>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 </w:t>
      </w:r>
      <w:r>
        <w:rPr>
          <w:rFonts w:hint="eastAsia" w:ascii="宋体" w:hAnsi="宋体" w:eastAsia="宋体" w:cs="宋体"/>
          <w:color w:val="000000" w:themeColor="text1"/>
          <w:sz w:val="30"/>
          <w:szCs w:val="30"/>
          <w:highlight w:val="none"/>
          <w14:textFill>
            <w14:solidFill>
              <w14:schemeClr w14:val="tx1"/>
            </w14:solidFill>
          </w14:textFill>
        </w:rPr>
        <w:t xml:space="preserve">投标</w:t>
      </w:r>
      <w:r>
        <w:rPr>
          <w:rFonts w:hint="eastAsia" w:ascii="宋体" w:hAnsi="宋体" w:eastAsia="宋体" w:cs="宋体"/>
          <w:color w:val="000000" w:themeColor="text1"/>
          <w:sz w:val="28"/>
          <w:szCs w:val="28"/>
          <w:highlight w:val="none"/>
          <w14:textFill>
            <w14:solidFill>
              <w14:schemeClr w14:val="tx1"/>
            </w14:solidFill>
          </w14:textFill>
        </w:rPr>
        <w:t xml:space="preserve">函</w:t>
      </w:r>
      <w:r/>
    </w:p>
    <w:p>
      <w:pPr>
        <w:spacing w:line="40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江苏伟业项目管理有限公司</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w:t>
      </w:r>
      <w:r>
        <w:rPr>
          <w:rFonts w:hint="eastAsia" w:ascii="宋体" w:hAnsi="宋体" w:cs="宋体"/>
          <w:color w:val="000000" w:themeColor="text1"/>
          <w:sz w:val="24"/>
          <w:highlight w:val="none"/>
          <w:u w:val="single"/>
          <w:lang w:eastAsia="zh-CN"/>
          <w14:textFill>
            <w14:solidFill>
              <w14:schemeClr w14:val="tx1"/>
            </w14:solidFill>
          </w14:textFill>
        </w:rPr>
        <w:t xml:space="preserve">（项目名称）</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]招标文件，</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姓名)代表我方</w:t>
      </w:r>
      <w:r>
        <w:rPr>
          <w:rFonts w:hint="eastAsia" w:ascii="宋体" w:hAnsi="宋体" w:eastAsia="宋体" w:cs="宋体"/>
          <w:color w:val="000000" w:themeColor="text1"/>
          <w:szCs w:val="21"/>
          <w:highlight w:val="none"/>
          <w14:textFill>
            <w14:solidFill>
              <w14:schemeClr w14:val="tx1"/>
            </w14:solidFill>
          </w14:textFill>
        </w:rPr>
        <w:t xml:space="preserve">______________</w:t>
      </w:r>
      <w:r>
        <w:rPr>
          <w:rFonts w:hint="eastAsia" w:ascii="宋体" w:hAnsi="宋体" w:eastAsia="宋体" w:cs="宋体"/>
          <w:color w:val="000000" w:themeColor="text1"/>
          <w:sz w:val="24"/>
          <w:highlight w:val="none"/>
          <w14:textFill>
            <w14:solidFill>
              <w14:schemeClr w14:val="tx1"/>
            </w14:solidFill>
          </w14:textFill>
        </w:rPr>
        <w:t xml:space="preserve">（投标人的名称）全权处理本次投标的有关事宜。</w:t>
      </w:r>
      <w:r/>
    </w:p>
    <w:p>
      <w:pPr>
        <w:ind w:firstLine="480"/>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据此函，投标人承诺并同意如下： </w:t>
      </w:r>
      <w:r/>
    </w:p>
    <w:p>
      <w:pPr>
        <w:ind w:firstLine="480"/>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 投标人唯一投标报价见《开标一览表》。</w:t>
      </w:r>
      <w:r/>
    </w:p>
    <w:p>
      <w:pPr>
        <w:ind w:firstLine="480"/>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 投标人将按招标文件的规定履行合同责任和义务。</w:t>
      </w:r>
      <w:r/>
    </w:p>
    <w:p>
      <w:pPr>
        <w:ind w:firstLine="480"/>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ind w:firstLine="480"/>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 投标有效期为开标之日后90天。</w:t>
      </w:r>
      <w:r/>
    </w:p>
    <w:p>
      <w:pPr>
        <w:ind w:firstLine="480"/>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 投标人不在投标初始有效期内撤回投标。</w:t>
      </w:r>
      <w:r/>
    </w:p>
    <w:p>
      <w:pPr>
        <w:ind w:firstLine="480"/>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 投标人同意提供按照贵方可能要求的与其投标有关的一切数据或资料，完全理解贵方不一定接受最低价的投标或收到的任何投标。</w:t>
      </w:r>
      <w:r/>
    </w:p>
    <w:p>
      <w:pPr>
        <w:ind w:firstLine="480"/>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 投标人同意在授予合同后，按照投标资料表中的有关规定支付招标代理服务费。 </w:t>
      </w:r>
      <w:r/>
    </w:p>
    <w:p>
      <w:pPr>
        <w:ind w:firstLine="480"/>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 采购人或采购代理机构有权将我单位本项目的《开标一览表》予以公示，公示的方式由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江苏纳联工程咨询有限公司</w:t>
      </w:r>
      <w:r>
        <w:rPr>
          <w:rFonts w:hint="eastAsia" w:ascii="宋体" w:hAnsi="宋体" w:eastAsia="宋体" w:cs="宋体"/>
          <w:color w:val="000000" w:themeColor="text1"/>
          <w:sz w:val="24"/>
          <w:szCs w:val="24"/>
          <w:highlight w:val="none"/>
          <w14:textFill>
            <w14:solidFill>
              <w14:schemeClr w14:val="tx1"/>
            </w14:solidFill>
          </w14:textFill>
        </w:rPr>
        <w:t xml:space="preserve">确定。</w:t>
      </w:r>
      <w:r/>
    </w:p>
    <w:p>
      <w:pPr>
        <w:ind w:firstLine="480"/>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480"/>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 与本投标有关的一切正式往来信函请寄：</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            手机号码：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 </w:t>
      </w:r>
      <w:r/>
    </w:p>
    <w:p>
      <w:pPr>
        <w:ind w:firstLine="312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312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ind w:firstLine="4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2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2．开标一览表</w:t>
      </w:r>
      <w:r/>
    </w:p>
    <w:p>
      <w:pPr>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spacing w:line="360" w:lineRule="auto"/>
        <w:rPr>
          <w:rFonts w:hint="eastAsia" w:ascii="宋体" w:hAnsi="宋体" w:cs="宋体"/>
          <w:color w:val="000000" w:themeColor="text1"/>
          <w:sz w:val="24"/>
          <w:szCs w:val="21"/>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pStyle w:val="935"/>
        <w:rPr>
          <w:rFonts w:hint="eastAsia"/>
          <w:lang w:eastAsia="zh-CN"/>
        </w:rPr>
      </w:pPr>
      <w:r>
        <w:rPr>
          <w:rFonts w:hint="eastAsia"/>
          <w:lang w:eastAsia="zh-CN"/>
        </w:rPr>
      </w:r>
      <w:r/>
    </w:p>
    <w:p>
      <w:pPr>
        <w:pStyle w:val="935"/>
        <w:rPr>
          <w:rFonts w:hint="eastAsia"/>
          <w:lang w:eastAsia="zh-CN"/>
        </w:rPr>
      </w:pPr>
      <w:r>
        <w:rPr>
          <w:rFonts w:hint="eastAsia"/>
          <w:lang w:eastAsia="zh-CN"/>
        </w:rPr>
      </w:r>
      <w:r/>
    </w:p>
    <w:p>
      <w:pPr>
        <w:ind w:firstLine="62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tbl>
      <w:tblPr>
        <w:tblStyle w:val="708"/>
        <w:tblW w:w="10762"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13"/>
        <w:gridCol w:w="2046"/>
        <w:gridCol w:w="2505"/>
        <w:gridCol w:w="2898"/>
      </w:tblGrid>
      <w:tr>
        <w:trPr>
          <w:cantSplit/>
          <w:jc w:val="center"/>
          <w:trHeight w:val="991"/>
        </w:trPr>
        <w:tc>
          <w:tcPr>
            <w:tcBorders>
              <w:top w:val="single" w:color="000000" w:sz="6" w:space="0"/>
              <w:left w:val="single" w:color="000000" w:sz="6" w:space="0"/>
              <w:bottom w:val="single" w:color="000000" w:sz="2" w:space="0"/>
              <w:right w:val="single" w:color="000000" w:sz="2" w:space="0"/>
            </w:tcBorders>
            <w:tcW w:w="331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auto" w:sz="4" w:space="0"/>
            </w:tcBorders>
            <w:tcW w:w="204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项目内容</w:t>
            </w:r>
            <w:r/>
          </w:p>
        </w:tc>
        <w:tc>
          <w:tcPr>
            <w:tcBorders>
              <w:top w:val="single" w:color="000000" w:sz="6" w:space="0"/>
              <w:left w:val="single" w:color="auto" w:sz="4" w:space="0"/>
              <w:bottom w:val="single" w:color="000000" w:sz="2" w:space="0"/>
              <w:right w:val="single" w:color="000000" w:sz="2" w:space="0"/>
            </w:tcBorders>
            <w:tcW w:w="2505"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采购货物</w:t>
            </w:r>
            <w:r/>
          </w:p>
        </w:tc>
        <w:tc>
          <w:tcPr>
            <w:tcBorders>
              <w:top w:val="single" w:color="000000" w:sz="6" w:space="0"/>
              <w:left w:val="single" w:color="auto" w:sz="4" w:space="0"/>
              <w:bottom w:val="single" w:color="000000" w:sz="2" w:space="0"/>
              <w:right w:val="single" w:color="000000" w:sz="2" w:space="0"/>
            </w:tcBorders>
            <w:tcW w:w="289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总价（小写）</w:t>
            </w:r>
            <w:r/>
          </w:p>
        </w:tc>
      </w:tr>
      <w:tr>
        <w:trPr>
          <w:cantSplit/>
          <w:jc w:val="center"/>
          <w:trHeight w:val="876"/>
        </w:trPr>
        <w:tc>
          <w:tcPr>
            <w:tcBorders>
              <w:top w:val="single" w:color="000000" w:sz="2" w:space="0"/>
              <w:left w:val="single" w:color="000000" w:sz="6" w:space="0"/>
              <w:right w:val="single" w:color="000000" w:sz="2" w:space="0"/>
            </w:tcBorders>
            <w:tcW w:w="3313" w:type="dxa"/>
            <w:vAlign w:val="center"/>
            <w:vMerge w:val="restart"/>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睢宁县桃园镇消防车、巡逻车及消防器材采购项目</w:t>
            </w:r>
            <w:r/>
          </w:p>
        </w:tc>
        <w:tc>
          <w:tcPr>
            <w:tcBorders>
              <w:top w:val="single" w:color="000000" w:sz="2" w:space="0"/>
              <w:left w:val="single" w:color="000000" w:sz="2" w:space="0"/>
              <w:right w:val="single" w:color="auto" w:sz="4" w:space="0"/>
            </w:tcBorders>
            <w:tcW w:w="2046" w:type="dxa"/>
            <w:vAlign w:val="center"/>
            <w:vMerge w:val="restart"/>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详见投标文件  </w:t>
            </w:r>
            <w:r/>
          </w:p>
        </w:tc>
        <w:tc>
          <w:tcPr>
            <w:tcBorders>
              <w:top w:val="single" w:color="000000" w:sz="2" w:space="0"/>
              <w:left w:val="single" w:color="auto" w:sz="4" w:space="0"/>
              <w:right w:val="single" w:color="000000" w:sz="2" w:space="0"/>
            </w:tcBorders>
            <w:tcW w:w="250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8吨泡沫消防车 </w:t>
            </w:r>
            <w:r/>
          </w:p>
        </w:tc>
        <w:tc>
          <w:tcPr>
            <w:tcBorders>
              <w:top w:val="single" w:color="000000" w:sz="2" w:space="0"/>
              <w:left w:val="single" w:color="auto" w:sz="4" w:space="0"/>
              <w:right w:val="single" w:color="000000" w:sz="2" w:space="0"/>
            </w:tcBorders>
            <w:tcW w:w="289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951"/>
        </w:trPr>
        <w:tc>
          <w:tcPr>
            <w:tcBorders>
              <w:left w:val="single" w:color="000000" w:sz="6" w:space="0"/>
              <w:right w:val="single" w:color="000000" w:sz="2" w:space="0"/>
            </w:tcBorders>
            <w:tcW w:w="3313" w:type="dxa"/>
            <w:vAlign w:val="center"/>
            <w:vMerge w:val="continue"/>
            <w:textDirection w:val="lrTb"/>
            <w:noWrap w:val="false"/>
          </w:tcPr>
          <w:p>
            <w:pPr>
              <w:jc w:val="center"/>
            </w:pPr>
            <w:r/>
            <w:r/>
          </w:p>
        </w:tc>
        <w:tc>
          <w:tcPr>
            <w:tcBorders>
              <w:left w:val="single" w:color="000000" w:sz="2" w:space="0"/>
              <w:right w:val="single" w:color="auto" w:sz="4" w:space="0"/>
            </w:tcBorders>
            <w:tcW w:w="2046" w:type="dxa"/>
            <w:vAlign w:val="center"/>
            <w:vMerge w:val="continue"/>
            <w:textDirection w:val="lrTb"/>
            <w:noWrap w:val="false"/>
          </w:tcPr>
          <w:p>
            <w:pPr>
              <w:jc w:val="center"/>
            </w:pPr>
            <w:r/>
            <w:r/>
          </w:p>
        </w:tc>
        <w:tc>
          <w:tcPr>
            <w:tcBorders>
              <w:top w:val="single" w:color="000000" w:sz="2" w:space="0"/>
              <w:left w:val="single" w:color="auto" w:sz="4" w:space="0"/>
              <w:right w:val="single" w:color="000000" w:sz="2" w:space="0"/>
            </w:tcBorders>
            <w:tcW w:w="250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4吨水罐消防车</w:t>
            </w:r>
            <w:r/>
          </w:p>
        </w:tc>
        <w:tc>
          <w:tcPr>
            <w:tcBorders>
              <w:top w:val="single" w:color="000000" w:sz="2" w:space="0"/>
              <w:left w:val="single" w:color="auto" w:sz="4" w:space="0"/>
              <w:right w:val="single" w:color="000000" w:sz="2" w:space="0"/>
            </w:tcBorders>
            <w:tcW w:w="289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1446"/>
        </w:trPr>
        <w:tc>
          <w:tcPr>
            <w:gridSpan w:val="3"/>
            <w:tcBorders>
              <w:top w:val="single" w:color="000000" w:sz="2" w:space="0"/>
              <w:left w:val="single" w:color="000000" w:sz="6" w:space="0"/>
              <w:bottom w:val="single" w:color="000000" w:sz="2" w:space="0"/>
              <w:right w:val="single" w:color="000000" w:sz="2" w:space="0"/>
            </w:tcBorders>
            <w:tcW w:w="7864" w:type="dxa"/>
            <w:vAlign w:val="center"/>
            <w:textDirection w:val="lrTb"/>
            <w:noWrap w:val="false"/>
          </w:tcPr>
          <w:p>
            <w:pPr>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合计</w:t>
            </w: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tcBorders>
              <w:top w:val="single" w:color="000000" w:sz="2" w:space="0"/>
              <w:left w:val="single" w:color="000000" w:sz="6" w:space="0"/>
              <w:bottom w:val="single" w:color="000000" w:sz="2" w:space="0"/>
              <w:right w:val="single" w:color="000000" w:sz="2" w:space="0"/>
            </w:tcBorders>
            <w:tcW w:w="2898" w:type="dxa"/>
            <w:vAlign w:val="center"/>
            <w:textDirection w:val="lrTb"/>
            <w:noWrap w:val="false"/>
          </w:tcPr>
          <w:p>
            <w:pPr>
              <w:jc w:val="lef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合计总价（小写）：</w:t>
            </w:r>
            <w:r/>
          </w:p>
        </w:tc>
      </w:tr>
    </w:tbl>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sectPr>
          <w:footnotePr/>
          <w:endnotePr/>
          <w:type w:val="nextPage"/>
          <w:pgSz w:w="11906" w:h="16838" w:orient="portrait"/>
          <w:pgMar w:top="1440" w:right="1080" w:bottom="1440" w:left="1080" w:header="851" w:footer="992" w:gutter="0"/>
          <w:pgNumType w:start="1"/>
          <w:cols w:num="1" w:sep="0" w:space="720" w:equalWidth="1"/>
          <w:docGrid w:linePitch="360"/>
        </w:sect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3．分项价格表</w:t>
      </w:r>
      <w:r/>
    </w:p>
    <w:p>
      <w:pPr>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ind w:firstLine="1560"/>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货币单位：人民币元</w:t>
      </w:r>
      <w:r/>
    </w:p>
    <w:p>
      <w:pPr>
        <w:ind w:firstLine="1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bl>
      <w:tblPr>
        <w:tblStyle w:val="708"/>
        <w:tblW w:w="9854"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08"/>
        <w:gridCol w:w="878"/>
        <w:gridCol w:w="1119"/>
        <w:gridCol w:w="1604"/>
        <w:gridCol w:w="1504"/>
        <w:gridCol w:w="833"/>
        <w:gridCol w:w="740"/>
        <w:gridCol w:w="1060"/>
        <w:gridCol w:w="1508"/>
      </w:tblGrid>
      <w:tr>
        <w:trPr>
          <w:jc w:val="center"/>
          <w:trHeight w:val="1811"/>
        </w:trPr>
        <w:tc>
          <w:tcPr>
            <w:shd w:val="clear" w:color="auto" w:fill="c0c0c0"/>
            <w:tcMar>
              <w:left w:w="15" w:type="dxa"/>
              <w:top w:w="15" w:type="dxa"/>
              <w:right w:w="15" w:type="dxa"/>
            </w:tcMar>
            <w:tcW w:w="608"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shd w:val="clear" w:color="auto" w:fill="c0c0c0"/>
            <w:tcMar>
              <w:left w:w="15" w:type="dxa"/>
              <w:top w:w="15" w:type="dxa"/>
              <w:right w:w="15" w:type="dxa"/>
            </w:tcMar>
            <w:tcW w:w="878"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p>
        </w:tc>
        <w:tc>
          <w:tcPr>
            <w:shd w:val="clear" w:color="auto" w:fill="c0c0c0"/>
            <w:tcMar>
              <w:left w:w="15" w:type="dxa"/>
              <w:top w:w="15" w:type="dxa"/>
              <w:right w:w="15" w:type="dxa"/>
            </w:tcMar>
            <w:tcW w:w="1119"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品牌、型号、规格</w:t>
            </w:r>
            <w:r/>
          </w:p>
        </w:tc>
        <w:tc>
          <w:tcPr>
            <w:shd w:val="clear" w:color="auto" w:fill="c0c0c0"/>
            <w:tcMar>
              <w:left w:w="15" w:type="dxa"/>
              <w:top w:w="15" w:type="dxa"/>
              <w:right w:w="15" w:type="dxa"/>
            </w:tcMar>
            <w:tcW w:w="160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产品制造企业名称</w:t>
            </w:r>
            <w:r/>
          </w:p>
        </w:tc>
        <w:tc>
          <w:tcPr>
            <w:shd w:val="clear" w:color="auto" w:fill="c0c0c0"/>
            <w:tcMar>
              <w:left w:w="15" w:type="dxa"/>
              <w:top w:w="15" w:type="dxa"/>
              <w:right w:w="15" w:type="dxa"/>
            </w:tcMar>
            <w:tcW w:w="150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产品制造企业的划分（大型、中型、小型、微型）</w:t>
            </w:r>
            <w:r/>
          </w:p>
        </w:tc>
        <w:tc>
          <w:tcPr>
            <w:shd w:val="clear" w:color="auto" w:fill="c0c0c0"/>
            <w:tcMar>
              <w:left w:w="15" w:type="dxa"/>
              <w:top w:w="15" w:type="dxa"/>
              <w:right w:w="15" w:type="dxa"/>
            </w:tcMar>
            <w:tcW w:w="833"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w:t>
            </w:r>
            <w:r/>
          </w:p>
        </w:tc>
        <w:tc>
          <w:tcPr>
            <w:shd w:val="clear" w:color="auto" w:fill="c0c0c0"/>
            <w:tcMar>
              <w:left w:w="15" w:type="dxa"/>
              <w:top w:w="15" w:type="dxa"/>
              <w:right w:w="15" w:type="dxa"/>
            </w:tcMar>
            <w:tcW w:w="740"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数量</w:t>
            </w:r>
            <w:r/>
          </w:p>
        </w:tc>
        <w:tc>
          <w:tcPr>
            <w:shd w:val="clear" w:color="auto" w:fill="c0c0c0"/>
            <w:tcMar>
              <w:left w:w="15" w:type="dxa"/>
              <w:top w:w="15" w:type="dxa"/>
              <w:right w:w="15" w:type="dxa"/>
            </w:tcMar>
            <w:tcW w:w="1060"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单价</w:t>
            </w:r>
            <w:r/>
          </w:p>
        </w:tc>
        <w:tc>
          <w:tcPr>
            <w:shd w:val="clear" w:color="auto" w:fill="c0c0c0"/>
            <w:tcMar>
              <w:left w:w="15" w:type="dxa"/>
              <w:top w:w="15" w:type="dxa"/>
              <w:right w:w="15" w:type="dxa"/>
            </w:tcMar>
            <w:tcW w:w="1508"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w:t>
            </w:r>
            <w:r/>
          </w:p>
        </w:tc>
      </w:tr>
      <w:tr>
        <w:trPr>
          <w:jc w:val="center"/>
          <w:trHeight w:val="564"/>
        </w:trPr>
        <w:tc>
          <w:tcPr>
            <w:tcMar>
              <w:left w:w="15" w:type="dxa"/>
              <w:top w:w="15" w:type="dxa"/>
              <w:right w:w="15" w:type="dxa"/>
            </w:tcMar>
            <w:tcW w:w="608"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left w:w="15" w:type="dxa"/>
              <w:top w:w="15" w:type="dxa"/>
              <w:right w:w="15" w:type="dxa"/>
            </w:tcMar>
            <w:tcW w:w="87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19"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0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0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0"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0"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0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20"/>
        </w:trPr>
        <w:tc>
          <w:tcPr>
            <w:tcMar>
              <w:left w:w="15" w:type="dxa"/>
              <w:top w:w="15" w:type="dxa"/>
              <w:right w:w="15" w:type="dxa"/>
            </w:tcMar>
            <w:tcW w:w="608"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Mar>
              <w:left w:w="15" w:type="dxa"/>
              <w:top w:w="15" w:type="dxa"/>
              <w:right w:w="15" w:type="dxa"/>
            </w:tcMar>
            <w:tcW w:w="87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19"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0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0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0"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0"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0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20"/>
        </w:trPr>
        <w:tc>
          <w:tcPr>
            <w:tcMar>
              <w:left w:w="15" w:type="dxa"/>
              <w:top w:w="15" w:type="dxa"/>
              <w:right w:w="15" w:type="dxa"/>
            </w:tcMar>
            <w:tcW w:w="608"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Mar>
              <w:left w:w="15" w:type="dxa"/>
              <w:top w:w="15" w:type="dxa"/>
              <w:right w:w="15" w:type="dxa"/>
            </w:tcMar>
            <w:tcW w:w="87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19"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0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0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0"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0"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0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20"/>
        </w:trPr>
        <w:tc>
          <w:tcPr>
            <w:tcMar>
              <w:left w:w="15" w:type="dxa"/>
              <w:top w:w="15" w:type="dxa"/>
              <w:right w:w="15" w:type="dxa"/>
            </w:tcMar>
            <w:tcW w:w="608"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Mar>
              <w:left w:w="15" w:type="dxa"/>
              <w:top w:w="15" w:type="dxa"/>
              <w:right w:w="15" w:type="dxa"/>
            </w:tcMar>
            <w:tcW w:w="87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19"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0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0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0"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0"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0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985"/>
        </w:trPr>
        <w:tc>
          <w:tcPr>
            <w:gridSpan w:val="4"/>
            <w:tcMar>
              <w:left w:w="15" w:type="dxa"/>
              <w:top w:w="15" w:type="dxa"/>
              <w:right w:w="15" w:type="dxa"/>
            </w:tcMar>
            <w:tcW w:w="4209"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总价合计（即《开标一览表》中的“总价”）</w:t>
            </w:r>
            <w:r/>
          </w:p>
        </w:tc>
        <w:tc>
          <w:tcPr>
            <w:gridSpan w:val="5"/>
            <w:tcMar>
              <w:left w:w="15" w:type="dxa"/>
              <w:top w:w="15" w:type="dxa"/>
              <w:right w:w="15" w:type="dxa"/>
            </w:tcMar>
            <w:tcW w:w="5645"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1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1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1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3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73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注：1．</w:t>
      </w:r>
      <w:r>
        <w:rPr>
          <w:rFonts w:hint="eastAsia" w:ascii="宋体" w:hAnsi="宋体" w:eastAsia="宋体" w:cs="宋体"/>
          <w:b/>
          <w:color w:val="000000" w:themeColor="text1"/>
          <w:sz w:val="24"/>
          <w:highlight w:val="none"/>
          <w14:textFill>
            <w14:solidFill>
              <w14:schemeClr w14:val="tx1"/>
            </w14:solidFill>
          </w14:textFill>
        </w:rPr>
        <w:t xml:space="preserve">如果不提供详细分项报价将视为没有实质性响应招标文件。</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投标人对以上数据的真实性负责。</w:t>
      </w:r>
      <w:r/>
    </w:p>
    <w:p>
      <w:pPr>
        <w:ind w:firstLine="480"/>
        <w:rPr>
          <w:rFonts w:hint="eastAsia" w:ascii="宋体" w:hAnsi="宋体" w:eastAsia="宋体" w:cs="宋体"/>
          <w:i/>
          <w:color w:val="000000" w:themeColor="text1"/>
          <w:sz w:val="24"/>
          <w:highlight w:val="none"/>
          <w:u w:val="single"/>
          <w14:textFill>
            <w14:solidFill>
              <w14:schemeClr w14:val="tx1"/>
            </w14:solidFill>
          </w14:textFill>
        </w:rPr>
      </w:pPr>
      <w:r>
        <w:rPr>
          <w:rFonts w:hint="eastAsia" w:ascii="宋体" w:hAnsi="宋体" w:cs="宋体"/>
          <w:i/>
          <w:color w:val="000000" w:themeColor="text1"/>
          <w:sz w:val="24"/>
          <w:highlight w:val="none"/>
          <w:u w:val="single"/>
          <w:lang w:eastAsia="zh-CN"/>
          <w14:textFill>
            <w14:solidFill>
              <w14:schemeClr w14:val="tx1"/>
            </w14:solidFill>
          </w14:textFill>
        </w:rPr>
        <w:t xml:space="preserve">江苏伟业项目管理有限公司</w:t>
      </w:r>
      <w:r>
        <w:rPr>
          <w:rFonts w:hint="eastAsia" w:ascii="宋体" w:hAnsi="宋体" w:eastAsia="宋体" w:cs="宋体"/>
          <w:i/>
          <w:color w:val="000000" w:themeColor="text1"/>
          <w:sz w:val="24"/>
          <w:highlight w:val="none"/>
          <w:u w:val="single"/>
          <w14:textFill>
            <w14:solidFill>
              <w14:schemeClr w14:val="tx1"/>
            </w14:solidFill>
          </w14:textFill>
        </w:rPr>
        <w:t xml:space="preserve">有权将以上内容进行公示。</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4．偏离表</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tbl>
      <w:tblPr>
        <w:tblStyle w:val="708"/>
        <w:tblW w:w="89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W w:w="1404"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偏离内容</w:t>
            </w:r>
            <w:r/>
          </w:p>
        </w:tc>
        <w:tc>
          <w:tcPr>
            <w:tcW w:w="1476"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招标文件的要求</w:t>
            </w:r>
            <w:r/>
          </w:p>
        </w:tc>
        <w:tc>
          <w:tcPr>
            <w:tcW w:w="162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投标文件中的内容</w:t>
            </w:r>
            <w:r/>
          </w:p>
        </w:tc>
        <w:tc>
          <w:tcPr>
            <w:tcW w:w="126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（正/负/无）偏离</w:t>
            </w:r>
            <w:r/>
          </w:p>
        </w:tc>
        <w:tc>
          <w:tcPr>
            <w:tcW w:w="234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both"/>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3360"/>
        <w:jc w:val="both"/>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5. 授权委托书</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委托人：</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法定代表人（负责人）：               职务：</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统一社会信用代码：</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受托人：                   性别：男（女）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年龄：  岁                 民族：   族</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职务：</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身份证号：</w:t>
      </w:r>
      <w:r/>
    </w:p>
    <w:p>
      <w:pPr>
        <w:ind w:firstLine="5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兹委托（      ）全权代表我企业（公司）参与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项目（项目编号：）的招、投标活动及签订合同。（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特此授权委托。</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委托人（公章）：                      受托人（签字）：</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法定代表人（负责人）（签字）： </w:t>
      </w:r>
      <w:r/>
    </w:p>
    <w:p>
      <w:pPr>
        <w:ind w:firstLine="488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8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年   月   日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(受托人身份证原件扫描件附后)</w:t>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spacing w:line="38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6.中小企业声明函</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jc w:val="center"/>
        <w:spacing w:line="3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本公司郑重声明，根据《政府采购促进中小企业发展管理办法》（财库</w:t>
      </w:r>
      <w:r>
        <w:rPr>
          <w:rFonts w:hint="eastAsia" w:ascii="宋体" w:hAnsi="宋体" w:cs="宋体"/>
          <w:color w:val="000000" w:themeColor="text1"/>
          <w:sz w:val="24"/>
          <w:highlight w:val="none"/>
          <w:lang w:eastAsia="zh-CN"/>
          <w14:textFill>
            <w14:solidFill>
              <w14:schemeClr w14:val="tx1"/>
            </w14:solidFill>
          </w14:textFill>
        </w:rPr>
        <w:t xml:space="preserve">〔2020〕46号</w:t>
      </w:r>
      <w:r>
        <w:rPr>
          <w:rFonts w:hint="eastAsia" w:ascii="宋体" w:hAnsi="宋体" w:eastAsia="宋体" w:cs="宋体"/>
          <w:color w:val="000000" w:themeColor="text1"/>
          <w:sz w:val="24"/>
          <w:highlight w:val="none"/>
          <w14:textFill>
            <w14:solidFill>
              <w14:schemeClr w14:val="tx1"/>
            </w14:solidFill>
          </w14:textFill>
        </w:rPr>
        <w:t xml:space="preserve">）的规定，本公司参加（</w:t>
      </w:r>
      <w:r>
        <w:rPr>
          <w:rStyle w:val="933"/>
          <w:rFonts w:hint="eastAsia" w:ascii="宋体" w:hAnsi="宋体" w:cs="宋体"/>
          <w:color w:val="auto"/>
          <w:sz w:val="24"/>
          <w:highlight w:val="none"/>
          <w:u w:val="single"/>
          <w:shd w:val="clear" w:color="auto" w:fill="auto"/>
        </w:rPr>
        <w:t xml:space="preserve">单位名称</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lang w:eastAsia="zh-CN"/>
          <w14:textFill>
            <w14:solidFill>
              <w14:schemeClr w14:val="tx1"/>
            </w14:solidFill>
          </w14:textFill>
        </w:rPr>
        <w:t xml:space="preserve">项目名称</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采购活动，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提供的货物</w:t>
      </w:r>
      <w:r>
        <w:rPr>
          <w:rFonts w:hint="eastAsia" w:ascii="宋体" w:hAnsi="宋体" w:eastAsia="宋体" w:cs="宋体"/>
          <w:color w:val="000000" w:themeColor="text1"/>
          <w:sz w:val="24"/>
          <w:highlight w:val="none"/>
          <w14:textFill>
            <w14:solidFill>
              <w14:schemeClr w14:val="tx1"/>
            </w14:solidFill>
          </w14:textFill>
        </w:rPr>
        <w:t xml:space="preserve">全部由符合政策要求的中小企业承接。相关企业的具体情况如下：</w:t>
      </w:r>
      <w:r/>
    </w:p>
    <w:p>
      <w:pPr>
        <w:pStyle w:val="724"/>
        <w:numPr>
          <w:ilvl w:val="0"/>
          <w:numId w:val="4"/>
        </w:numPr>
        <w:ind w:lef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工</w:t>
      </w:r>
      <w:r>
        <w:rPr>
          <w:rFonts w:hint="eastAsia" w:ascii="宋体" w:hAnsi="宋体" w:eastAsia="宋体" w:cs="宋体"/>
          <w:color w:val="000000" w:themeColor="text1"/>
          <w:sz w:val="24"/>
          <w:highlight w:val="none"/>
          <w14:textFill>
            <w14:solidFill>
              <w14:schemeClr w14:val="tx1"/>
            </w14:solidFill>
          </w14:textFill>
        </w:rPr>
        <w:t xml:space="preserve">业）；制造商为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（企业名称），从业人员（    ）人，营业收入为（    万元），资产总额为（    万元）①，属于（中型企业、小型企业、微型企业）；</w:t>
      </w:r>
      <w:r/>
    </w:p>
    <w:p>
      <w:pPr>
        <w:pStyle w:val="724"/>
        <w:numPr>
          <w:ilvl w:val="0"/>
          <w:numId w:val="4"/>
        </w:numPr>
        <w:ind w:lef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工</w:t>
      </w:r>
      <w:r>
        <w:rPr>
          <w:rFonts w:hint="eastAsia" w:ascii="宋体" w:hAnsi="宋体" w:eastAsia="宋体" w:cs="宋体"/>
          <w:color w:val="000000" w:themeColor="text1"/>
          <w:sz w:val="24"/>
          <w:highlight w:val="none"/>
          <w14:textFill>
            <w14:solidFill>
              <w14:schemeClr w14:val="tx1"/>
            </w14:solidFill>
          </w14:textFill>
        </w:rPr>
        <w:t xml:space="preserve">业）；制造商为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（企业名称），从业人员（    ）人，营业收入为（    万元），资产总额为（    万元）①，属于（中型企业、小型企业、微型企业）；</w:t>
      </w:r>
      <w:r/>
    </w:p>
    <w:p>
      <w:pPr>
        <w:pStyle w:val="724"/>
        <w:numPr>
          <w:ilvl w:val="0"/>
          <w:numId w:val="0"/>
        </w:numPr>
        <w:ind w:left="48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jc w:val="both"/>
        <w:spacing w:line="3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pStyle w:val="724"/>
        <w:ind w:right="480" w:firstLine="3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24"/>
        <w:ind w:right="480" w:firstLine="26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企业名称（电子签章）：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28"/>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期：   年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月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日</w:t>
      </w:r>
      <w:r/>
    </w:p>
    <w:p>
      <w:pPr>
        <w:pStyle w:val="72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说明：</w:t>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1.从业人员、营业收入、资产总额填报上一年度数据，无上一年度数据的新成立企业可不填报。 </w:t>
      </w:r>
      <w:r/>
    </w:p>
    <w:p>
      <w:pPr>
        <w:ind w:firstLine="480"/>
        <w:jc w:val="both"/>
        <w:spacing w:line="360" w:lineRule="auto"/>
        <w:widowControl w:val="off"/>
        <w:rPr>
          <w:rFonts w:hint="eastAsia" w:ascii="宋体" w:hAnsi="宋体" w:eastAsia="宋体" w:cs="宋体"/>
          <w:color w:val="000000" w:themeColor="text1"/>
          <w:sz w:val="22"/>
          <w:szCs w:val="22"/>
          <w:highlight w:val="none"/>
          <w:lang w:val="zh-CN"/>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w:t>
      </w:r>
      <w:r>
        <w:rPr>
          <w:rFonts w:hint="eastAsia" w:ascii="宋体" w:hAnsi="宋体" w:eastAsia="宋体" w:cs="宋体"/>
          <w:color w:val="000000" w:themeColor="text1"/>
          <w:sz w:val="22"/>
          <w:szCs w:val="22"/>
          <w:highlight w:val="none"/>
          <w:lang w:val="zh-CN"/>
          <w14:textFill>
            <w14:solidFill>
              <w14:schemeClr w14:val="tx1"/>
            </w14:solidFill>
          </w14:textFill>
        </w:rPr>
        <w:t xml:space="preserve">根据《工业和信息化部、国家统计局、国家发展和改革委员会、财政部关于印发中小企业划型标准规定的通知》（工信部联企业</w:t>
      </w:r>
      <w:r>
        <w:rPr>
          <w:rFonts w:hint="eastAsia" w:ascii="宋体" w:hAnsi="宋体" w:cs="宋体"/>
          <w:color w:val="000000" w:themeColor="text1"/>
          <w:sz w:val="22"/>
          <w:szCs w:val="22"/>
          <w:highlight w:val="none"/>
          <w:lang w:val="zh-CN"/>
          <w14:textFill>
            <w14:solidFill>
              <w14:schemeClr w14:val="tx1"/>
            </w14:solidFill>
          </w14:textFill>
        </w:rPr>
        <w:t xml:space="preserve">〔2011〕300号</w:t>
      </w:r>
      <w:r>
        <w:rPr>
          <w:rFonts w:hint="eastAsia" w:ascii="宋体" w:hAnsi="宋体" w:eastAsia="宋体" w:cs="宋体"/>
          <w:color w:val="000000" w:themeColor="text1"/>
          <w:sz w:val="22"/>
          <w:szCs w:val="22"/>
          <w:highlight w:val="none"/>
          <w:lang w:val="zh-CN"/>
          <w14:textFill>
            <w14:solidFill>
              <w14:schemeClr w14:val="tx1"/>
            </w14:solidFill>
          </w14:textFill>
        </w:rPr>
        <w:t xml:space="preserve">）规定的划分标准，本项目行业种类为工业。</w:t>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3.供应商如不提供此声明函，资格性审查不能通过。</w:t>
      </w:r>
      <w:r/>
    </w:p>
    <w:p>
      <w:pPr>
        <w:pStyle w:val="916"/>
        <w:ind w:right="480" w:firstLine="32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44"/>
        <w:ind w:firstLine="442"/>
        <w:spacing w:line="360" w:lineRule="auto"/>
        <w:rPr>
          <w:rFonts w:asciiTheme="minorEastAsia" w:hAnsiTheme="minorEastAsia" w:eastAsiaTheme="minorEastAsia" w:cstheme="minorEastAsia"/>
          <w:color w:val="000000" w:themeColor="text1"/>
          <w:spacing w:val="8"/>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“中小企业声明涵” 查询渠道用微信搜索“中小企业规模类型自测小程序”。</w:t>
      </w:r>
      <w:r/>
    </w:p>
    <w:p>
      <w:pPr>
        <w:pStyle w:val="944"/>
        <w:ind w:firstLine="562"/>
        <w:spacing w:line="360" w:lineRule="auto"/>
        <w:rPr>
          <w:rFonts w:asciiTheme="minorEastAsia" w:hAnsiTheme="minorEastAsia" w:eastAsiaTheme="minorEastAsia" w:cstheme="minorEastAsia"/>
          <w:color w:val="000000" w:themeColor="text1"/>
          <w:spacing w:val="8"/>
          <w:sz w:val="22"/>
          <w:szCs w:val="22"/>
          <w:highlight w:val="none"/>
          <w14:textFill>
            <w14:solidFill>
              <w14:schemeClr w14:val="tx1"/>
            </w14:solidFill>
          </w14:textFill>
        </w:rPr>
        <w:sectPr>
          <w:footnotePr/>
          <w:endnotePr/>
          <w:type w:val="nextPage"/>
          <w:pgSz w:w="11906" w:h="16838" w:orient="portrait"/>
          <w:pgMar w:top="1440" w:right="1080" w:bottom="1440" w:left="1080" w:header="851" w:footer="992" w:gutter="0"/>
          <w:pgNumType w:start="1"/>
          <w:cols w:num="1" w:sep="0" w:space="720" w:equalWidth="1"/>
          <w:docGrid w:linePitch="360"/>
        </w:sectPr>
      </w:pPr>
      <w:r>
        <w:rPr>
          <w:rFonts w:asciiTheme="minorEastAsia" w:hAnsiTheme="minorEastAsia" w:eastAsiaTheme="minorEastAsia" w:cstheme="minorEastAsia"/>
          <w:color w:val="000000" w:themeColor="text1"/>
          <w:spacing w:val="8"/>
          <w:sz w:val="22"/>
          <w:szCs w:val="22"/>
          <w:highlight w:val="none"/>
          <w14:textFill>
            <w14:solidFill>
              <w14:schemeClr w14:val="tx1"/>
            </w14:solidFill>
          </w14:textFill>
        </w:rPr>
        <w:t xml:space="preserve">如有疑问，可与市工信局中小企业综合协调处咨询联系。联系电话：0516-83861958</w:t>
      </w:r>
      <w:r/>
    </w:p>
    <w:p>
      <w:pPr>
        <w:pStyle w:val="944"/>
        <w:ind w:firstLine="562"/>
        <w:spacing w:line="360" w:lineRule="auto"/>
        <w:rPr>
          <w:rFonts w:asciiTheme="minorEastAsia" w:hAnsiTheme="minorEastAsia" w:eastAsiaTheme="minorEastAsia" w:cstheme="minorEastAsia"/>
          <w:color w:val="000000" w:themeColor="text1"/>
          <w:spacing w:val="8"/>
          <w:sz w:val="22"/>
          <w:szCs w:val="22"/>
          <w:highlight w:val="none"/>
          <w14:textFill>
            <w14:solidFill>
              <w14:schemeClr w14:val="tx1"/>
            </w14:solidFill>
          </w14:textFill>
        </w:rPr>
        <w:sectPr>
          <w:footnotePr/>
          <w:endnotePr/>
          <w:type w:val="nextPage"/>
          <w:pgSz w:w="11906" w:h="16838" w:orient="portrait"/>
          <w:pgMar w:top="1440" w:right="1080" w:bottom="1440" w:left="1080" w:header="851" w:footer="992" w:gutter="0"/>
          <w:pgNumType w:start="1"/>
          <w:cols w:num="1" w:sep="0" w:space="720" w:equalWidth="1"/>
          <w:docGrid w:linePitch="360"/>
        </w:sectPr>
      </w:pPr>
      <w:r>
        <w:rPr>
          <w:rFonts w:ascii="Arial" w:hAnsi="Arial"/>
          <w:sz w:val="21"/>
          <w:szCs w:val="21"/>
          <w:lang w:eastAsia="en-US"/>
        </w:rPr>
        <mc:AlternateContent>
          <mc:Choice Requires="wpg">
            <w:drawing>
              <wp:inline xmlns:wp="http://schemas.openxmlformats.org/drawingml/2006/wordprocessingDrawing" distT="0" distB="0" distL="0" distR="0">
                <wp:extent cx="2736215" cy="5634355"/>
                <wp:effectExtent l="0" t="0" r="6985" b="4445"/>
                <wp:docPr id="2"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8" descr="D:\Tencent\微信\WeChat Files\wxid_1c6io8gl77vj22\FileStorage\Temp\912730e80772119968377d556d5bbbe.jpg"/>
                        <pic:cNvPicPr>
                          <a:picLocks noChangeAspect="1"/>
                        </pic:cNvPicPr>
                        <pic:nvPr/>
                      </pic:nvPicPr>
                      <pic:blipFill>
                        <a:blip r:embed="rId13"/>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4pt;height:443.6pt;mso-wrap-distance-left:0.0pt;mso-wrap-distance-top:0.0pt;mso-wrap-distance-right:0.0pt;mso-wrap-distance-bottom:0.0pt;" stroked="f">
                <v:path textboxrect="0,0,0,0"/>
                <v:imagedata r:id="rId13" o:title=""/>
              </v:shape>
            </w:pict>
          </mc:Fallback>
        </mc:AlternateContent>
      </w:r>
      <w:r/>
    </w:p>
    <w:p>
      <w:pPr>
        <w:pStyle w:val="944"/>
        <w:ind w:firstLine="562"/>
        <w:spacing w:line="360" w:lineRule="auto"/>
        <w:rPr>
          <w:rFonts w:asciiTheme="minorEastAsia" w:hAnsiTheme="minorEastAsia" w:eastAsiaTheme="minorEastAsia" w:cstheme="minorEastAsia"/>
          <w:color w:val="000000" w:themeColor="text1"/>
          <w:spacing w:val="8"/>
          <w:sz w:val="22"/>
          <w:szCs w:val="22"/>
          <w:highlight w:val="none"/>
          <w14:textFill>
            <w14:solidFill>
              <w14:schemeClr w14:val="tx1"/>
            </w14:solidFill>
          </w14:textFill>
        </w:rPr>
      </w:pPr>
      <w:r>
        <w:rPr>
          <w:rFonts w:asciiTheme="minorEastAsia" w:hAnsiTheme="minorEastAsia" w:eastAsiaTheme="minorEastAsia" w:cstheme="minorEastAsia"/>
          <w:color w:val="000000" w:themeColor="text1"/>
          <w:spacing w:val="8"/>
          <w:sz w:val="22"/>
          <w:szCs w:val="22"/>
          <w:highlight w:val="none"/>
          <w14:textFill>
            <w14:solidFill>
              <w14:schemeClr w14:val="tx1"/>
            </w14:solidFill>
          </w14:textFill>
        </w:rPr>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7. 投标人参加政府采购活动前3年内在经营活动中没有重大违法记录的书面声明</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我单位在参加（</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）项目（项目编号：</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745"/>
        <w:ind w:firstLine="70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我单位对上述声明的真实性负责。如有虚假，将依法承担相应责任。</w:t>
      </w:r>
      <w:r/>
    </w:p>
    <w:p>
      <w:pPr>
        <w:ind w:firstLine="70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384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38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588"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3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jc w:val="center"/>
        <w:spacing w:line="588"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8.</w:t>
      </w:r>
      <w:bookmarkStart w:id="1" w:name="OLE_LINK13"/>
      <w:r/>
      <w:bookmarkStart w:id="2" w:name="OLE_LINK14"/>
      <w:r>
        <w:rPr>
          <w:rFonts w:hint="eastAsia" w:ascii="宋体" w:hAnsi="宋体" w:eastAsia="宋体" w:cs="宋体"/>
          <w:color w:val="000000" w:themeColor="text1"/>
          <w:spacing w:val="6"/>
          <w:sz w:val="28"/>
          <w:szCs w:val="28"/>
          <w:highlight w:val="none"/>
          <w14:textFill>
            <w14:solidFill>
              <w14:schemeClr w14:val="tx1"/>
            </w14:solidFill>
          </w14:textFill>
        </w:rPr>
        <w:t xml:space="preserve"> 残疾人福利性单位声明函</w:t>
      </w:r>
      <w:bookmarkEnd w:id="1"/>
      <w:r/>
      <w:bookmarkEnd w:id="2"/>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highlight w:val="none"/>
          <w14:textFill>
            <w14:solidFill>
              <w14:schemeClr w14:val="tx1"/>
            </w14:solidFill>
          </w14:textFill>
        </w:rPr>
        <w:t xml:space="preserve">〔2017〕141</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pacing w:val="6"/>
          <w:sz w:val="24"/>
          <w:szCs w:val="24"/>
          <w:highlight w:val="none"/>
          <w:u w:val="single"/>
          <w:lang w:eastAsia="zh-CN"/>
          <w14:textFill>
            <w14:solidFill>
              <w14:schemeClr w14:val="tx1"/>
            </w14:solidFill>
          </w14:textFill>
        </w:rPr>
        <w:t xml:space="preserve">（单位名称）</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单位的</w:t>
      </w:r>
      <w:r>
        <w:rPr>
          <w:rFonts w:hint="eastAsia" w:ascii="宋体" w:hAnsi="宋体" w:cs="宋体"/>
          <w:color w:val="000000" w:themeColor="text1"/>
          <w:spacing w:val="6"/>
          <w:sz w:val="24"/>
          <w:szCs w:val="24"/>
          <w:highlight w:val="none"/>
          <w:u w:val="single"/>
          <w:lang w:eastAsia="zh-CN"/>
          <w14:textFill>
            <w14:solidFill>
              <w14:schemeClr w14:val="tx1"/>
            </w14:solidFill>
          </w14:textFill>
        </w:rPr>
        <w:t xml:space="preserve">（项目名称）</w:t>
      </w:r>
      <w:r>
        <w:rPr>
          <w:rFonts w:hint="eastAsia" w:ascii="宋体" w:hAnsi="宋体" w:eastAsia="宋体" w:cs="宋体"/>
          <w:color w:val="000000" w:themeColor="text1"/>
          <w:spacing w:val="6"/>
          <w:sz w:val="24"/>
          <w:szCs w:val="24"/>
          <w:highlight w:val="none"/>
          <w14:textFill>
            <w14:solidFill>
              <w14:schemeClr w14:val="tx1"/>
            </w14:solidFill>
          </w14:textFill>
        </w:rPr>
        <w:t xml:space="preserve">采购活动提供服务，或者提供其他残疾人福利性单位制造的货物（不包括使用非残疾人福利性单位注册商标的货物）。</w:t>
      </w:r>
      <w:r/>
    </w:p>
    <w:p>
      <w:pPr>
        <w:ind w:firstLine="584"/>
        <w:spacing w:line="588"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本单位对上述声明的真实性负责。如有虚假，将依法承担相应责任。</w:t>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right="-58" w:firstLine="584"/>
        <w:jc w:val="center"/>
        <w:spacing w:line="588" w:lineRule="exact"/>
        <w:tabs>
          <w:tab w:val="left" w:pos="4860" w:leader="none"/>
        </w:tabs>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 单位名称：</w:t>
      </w:r>
      <w:r>
        <w:rPr>
          <w:rFonts w:hint="eastAsia" w:ascii="宋体" w:hAnsi="宋体" w:eastAsia="宋体" w:cs="宋体"/>
          <w:color w:val="000000" w:themeColor="text1"/>
          <w:spacing w:val="6"/>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（电子签章）</w:t>
      </w:r>
      <w:r/>
    </w:p>
    <w:p>
      <w:pPr>
        <w:ind w:right="1560" w:firstLine="584"/>
        <w:jc w:val="center"/>
        <w:spacing w:line="588" w:lineRule="exact"/>
        <w:tabs>
          <w:tab w:val="left" w:pos="4860" w:leader="none"/>
        </w:tabs>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     </w:t>
      </w: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  日  期：</w:t>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p>
      <w:pPr>
        <w:ind w:firstLine="56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ind w:firstLine="56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供应商提供的《残疾人福利性单位声明函》与事实不符的，依照《</w:t>
      </w:r>
      <w:r>
        <w:rPr>
          <w:rFonts w:hint="eastAsia" w:ascii="宋体" w:hAnsi="宋体" w:cs="宋体"/>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eastAsia="宋体" w:cs="宋体"/>
          <w:color w:val="000000" w:themeColor="text1"/>
          <w:sz w:val="24"/>
          <w:szCs w:val="24"/>
          <w:highlight w:val="none"/>
          <w14:textFill>
            <w14:solidFill>
              <w14:schemeClr w14:val="tx1"/>
            </w14:solidFill>
          </w14:textFill>
        </w:rPr>
        <w:t xml:space="preserve">》第七十七条第一款的规定追究法律责任。</w:t>
      </w:r>
      <w:r/>
    </w:p>
    <w:p>
      <w:pPr>
        <w:ind w:firstLine="560"/>
        <w:jc w:val="lef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560"/>
        <w:jc w:val="lef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600"/>
        <w:jc w:val="lef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2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600"/>
        <w:jc w:val="lef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jc w:val="lef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9.</w:t>
      </w:r>
      <w:r>
        <w:rPr>
          <w:rFonts w:hint="eastAsia" w:ascii="宋体" w:hAnsi="宋体" w:eastAsia="宋体" w:cs="宋体"/>
          <w:bCs/>
          <w:color w:val="000000" w:themeColor="text1"/>
          <w:sz w:val="28"/>
          <w:szCs w:val="28"/>
          <w:highlight w:val="none"/>
          <w14:textFill>
            <w14:solidFill>
              <w14:schemeClr w14:val="tx1"/>
            </w14:solidFill>
          </w14:textFill>
        </w:rPr>
        <w:t xml:space="preserve"> 具备履行合同所必需的设备和专业技术能力的书面声明</w:t>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（附证明材料</w:t>
      </w:r>
      <w:r>
        <w:rPr>
          <w:rFonts w:hint="eastAsia" w:ascii="宋体" w:hAnsi="宋体" w:eastAsia="宋体" w:cs="宋体"/>
          <w:color w:val="000000" w:themeColor="text1"/>
          <w:sz w:val="28"/>
          <w:szCs w:val="28"/>
          <w:highlight w:val="none"/>
          <w14:textFill>
            <w14:solidFill>
              <w14:schemeClr w14:val="tx1"/>
            </w14:solidFill>
          </w14:textFill>
        </w:rPr>
        <w:t xml:space="preserve">的扫描件</w:t>
      </w:r>
      <w:r>
        <w:rPr>
          <w:rFonts w:hint="eastAsia" w:ascii="宋体" w:hAnsi="宋体" w:eastAsia="宋体" w:cs="宋体"/>
          <w:bCs/>
          <w:color w:val="000000" w:themeColor="text1"/>
          <w:sz w:val="28"/>
          <w:szCs w:val="28"/>
          <w:highlight w:val="none"/>
          <w14:textFill>
            <w14:solidFill>
              <w14:schemeClr w14:val="tx1"/>
            </w14:solidFill>
          </w14:textFill>
        </w:rPr>
        <w:t xml:space="preserve">）</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ind w:firstLine="480"/>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投标人郑重声明：投标人具备履行合同（项目名称</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）所必需的设备和专业技术能力，具体为：</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设备：</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专业技术能力：</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特此声明。</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投标人对上述声明的真实性负责。如有虚假，将依法承担相应责任。</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00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26"/>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26"/>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26"/>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26"/>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26"/>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10.投标人相关承诺</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我单位承诺：</w:t>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我单位对上述承诺负责，并依法承担相应责任。</w:t>
      </w:r>
      <w:r/>
    </w:p>
    <w:p>
      <w:pPr>
        <w:ind w:firstLine="300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4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70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4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rPr>
          <w:rFonts w:hint="eastAsia" w:ascii="宋体" w:hAnsi="宋体" w:eastAsia="宋体" w:cs="宋体"/>
          <w:color w:val="000000" w:themeColor="text1"/>
          <w:sz w:val="28"/>
          <w:szCs w:val="28"/>
          <w:highlight w:val="none"/>
          <w14:textFill>
            <w14:solidFill>
              <w14:schemeClr w14:val="tx1"/>
            </w14:solidFill>
          </w14:textFill>
        </w:rPr>
        <w:t xml:space="preserve">11.投标人书面声明</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ind w:firstLine="480"/>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我单位不是为本采购项目提供整体设计、规范编制或者项目管理、监理、检测等服务的供应商。</w:t>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特此声明。</w:t>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我单位对上述声明的真实性负责。如有虚假，将依法承担相应责任。</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00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4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4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pStyle w:val="726"/>
        <w:ind w:firstLine="28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pStyle w:val="721"/>
        <w:ind w:firstLine="562"/>
        <w:jc w:val="center"/>
        <w:spacing w:line="480" w:lineRule="exact"/>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lang w:val="en-US" w:eastAsia="zh-CN"/>
          <w14:textFill>
            <w14:solidFill>
              <w14:schemeClr w14:val="tx1"/>
            </w14:solidFill>
          </w14:textFill>
        </w:rPr>
        <w:t xml:space="preserve">12.</w:t>
      </w:r>
      <w:r>
        <w:rPr>
          <w:rFonts w:hint="eastAsia" w:ascii="宋体" w:hAnsi="宋体" w:cs="宋体"/>
          <w:color w:val="000000" w:themeColor="text1"/>
          <w:sz w:val="30"/>
          <w:szCs w:val="30"/>
          <w:highlight w:val="none"/>
          <w14:textFill>
            <w14:solidFill>
              <w14:schemeClr w14:val="tx1"/>
            </w14:solidFill>
          </w14:textFill>
        </w:rPr>
        <w:t xml:space="preserve">预付款保函支付条款模板</w:t>
      </w:r>
      <w:r/>
    </w:p>
    <w:p>
      <w:pPr>
        <w:pStyle w:val="721"/>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符合条件一：提交预付款保函的</w:t>
      </w:r>
      <w:r/>
    </w:p>
    <w:p>
      <w:pPr>
        <w:pStyle w:val="721"/>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721"/>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721"/>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721"/>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721"/>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符合条件二：不提交预付款保函的</w:t>
      </w:r>
      <w:r/>
    </w:p>
    <w:p>
      <w:pPr>
        <w:pStyle w:val="721"/>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721"/>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721"/>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721"/>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721"/>
        <w:ind w:left="140"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p>
    <w:p>
      <w:pPr>
        <w:pStyle w:val="721"/>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1、付款条件一中，出具预付款保函后支付的合同款应当与保函金额一致。</w:t>
      </w:r>
      <w:r/>
    </w:p>
    <w:p>
      <w:pPr>
        <w:pStyle w:val="721"/>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2、付款条件二中，预付款比例设定应符合《关于做好政府采购支持企业发展有关事项的通知》(苏财购〔2020〕52号)要求。</w:t>
      </w:r>
      <w:r/>
    </w:p>
    <w:p>
      <w:pPr>
        <w:pStyle w:val="726"/>
        <w:ind w:firstLine="28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26"/>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26"/>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726"/>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r>
      <w:r/>
    </w:p>
    <w:sectPr>
      <w:footnotePr/>
      <w:endnotePr/>
      <w:type w:val="nextPage"/>
      <w:pgSz w:w="11906" w:h="16838" w:orient="portrait"/>
      <w:pgMar w:top="1440" w:right="1080" w:bottom="1440" w:left="108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701"/>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link w:val="940"/>
    <w:uiPriority w:val="0"/>
    <w:qFormat/>
    <w:pPr>
      <w:jc w:val="both"/>
      <w:widowControl w:val="off"/>
    </w:pPr>
    <w:rPr>
      <w:rFonts w:hint="default" w:ascii="Times New Roman" w:hAnsi="Times New Roman" w:eastAsia="宋体" w:cs="Times New Roman"/>
      <w:sz w:val="21"/>
      <w:szCs w:val="24"/>
    </w:rPr>
  </w:style>
  <w:style w:type="paragraph" w:styleId="698">
    <w:name w:val="Heading 1"/>
    <w:basedOn w:val="697"/>
    <w:next w:val="697"/>
    <w:uiPriority w:val="0"/>
    <w:qFormat/>
    <w:pPr>
      <w:keepLines/>
      <w:keepNext/>
      <w:spacing w:before="340" w:after="330" w:line="578" w:lineRule="auto"/>
      <w:outlineLvl w:val="0"/>
    </w:pPr>
    <w:rPr>
      <w:b/>
      <w:bCs/>
      <w:sz w:val="44"/>
      <w:szCs w:val="44"/>
    </w:rPr>
  </w:style>
  <w:style w:type="paragraph" w:styleId="699">
    <w:name w:val="Heading 2"/>
    <w:basedOn w:val="697"/>
    <w:next w:val="697"/>
    <w:link w:val="762"/>
    <w:uiPriority w:val="9"/>
    <w:unhideWhenUsed/>
    <w:qFormat/>
    <w:pPr>
      <w:keepLines/>
      <w:keepNext/>
      <w:spacing w:before="360" w:after="200"/>
      <w:outlineLvl w:val="1"/>
    </w:pPr>
    <w:rPr>
      <w:rFonts w:ascii="Arial" w:hAnsi="Arial" w:eastAsia="Arial" w:cs="Arial"/>
      <w:sz w:val="34"/>
    </w:rPr>
  </w:style>
  <w:style w:type="paragraph" w:styleId="700">
    <w:name w:val="Heading 3"/>
    <w:basedOn w:val="697"/>
    <w:next w:val="697"/>
    <w:link w:val="760"/>
    <w:uiPriority w:val="0"/>
    <w:unhideWhenUsed/>
    <w:qFormat/>
    <w:pPr>
      <w:keepLines/>
      <w:keepNext/>
      <w:spacing w:before="260" w:after="260" w:line="416" w:lineRule="auto"/>
      <w:outlineLvl w:val="2"/>
    </w:pPr>
    <w:rPr>
      <w:b/>
      <w:bCs/>
      <w:sz w:val="32"/>
      <w:szCs w:val="32"/>
    </w:rPr>
  </w:style>
  <w:style w:type="paragraph" w:styleId="701">
    <w:name w:val="Heading 4"/>
    <w:basedOn w:val="697"/>
    <w:next w:val="697"/>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702">
    <w:name w:val="Heading 5"/>
    <w:basedOn w:val="697"/>
    <w:next w:val="697"/>
    <w:link w:val="765"/>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66"/>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67"/>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68"/>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69"/>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toc 7"/>
    <w:basedOn w:val="697"/>
    <w:next w:val="697"/>
    <w:uiPriority w:val="39"/>
    <w:unhideWhenUsed/>
    <w:qFormat/>
    <w:pPr>
      <w:ind w:left="1701" w:right="0" w:firstLine="0"/>
      <w:spacing w:after="57"/>
    </w:pPr>
  </w:style>
  <w:style w:type="paragraph" w:styleId="710">
    <w:name w:val="Normal Indent"/>
    <w:basedOn w:val="697"/>
    <w:next w:val="697"/>
    <w:uiPriority w:val="0"/>
    <w:qFormat/>
    <w:pPr>
      <w:ind w:firstLine="420"/>
    </w:pPr>
  </w:style>
  <w:style w:type="paragraph" w:styleId="711">
    <w:name w:val="Caption"/>
    <w:basedOn w:val="697"/>
    <w:next w:val="6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Body Text"/>
    <w:basedOn w:val="697"/>
    <w:next w:val="713"/>
    <w:uiPriority w:val="0"/>
    <w:qFormat/>
    <w:rPr>
      <w:rFonts w:ascii="楷体_GB2312" w:hAnsi="Arial" w:eastAsia="楷体_GB2312"/>
      <w:sz w:val="28"/>
      <w:szCs w:val="28"/>
    </w:rPr>
  </w:style>
  <w:style w:type="paragraph" w:styleId="713" w:customStyle="1">
    <w:name w:val="一级条标题"/>
    <w:basedOn w:val="714"/>
    <w:next w:val="72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4" w:customStyle="1">
    <w:name w:val="章标题"/>
    <w:basedOn w:val="715"/>
    <w:next w:val="697"/>
    <w:uiPriority w:val="0"/>
    <w:qFormat/>
    <w:pPr>
      <w:jc w:val="center"/>
      <w:spacing w:before="158" w:after="153" w:line="1292" w:lineRule="atLeast"/>
      <w:widowControl/>
    </w:pPr>
    <w:rPr>
      <w:rFonts w:ascii="Arial" w:hAnsi="Calibri" w:eastAsia="黑体"/>
      <w:sz w:val="31"/>
      <w:szCs w:val="22"/>
      <w:lang w:eastAsia="en-US" w:bidi="en-US"/>
    </w:rPr>
  </w:style>
  <w:style w:type="paragraph" w:styleId="715" w:customStyle="1">
    <w:name w:val="正文112"/>
    <w:next w:val="716"/>
    <w:uiPriority w:val="0"/>
    <w:qFormat/>
    <w:pPr>
      <w:jc w:val="both"/>
      <w:widowControl w:val="off"/>
    </w:pPr>
    <w:rPr>
      <w:rFonts w:hint="default" w:ascii="Times New Roman" w:hAnsi="Times New Roman" w:eastAsia="宋体" w:cs="Times New Roman"/>
      <w:sz w:val="21"/>
      <w:szCs w:val="24"/>
    </w:rPr>
  </w:style>
  <w:style w:type="paragraph" w:styleId="716" w:customStyle="1">
    <w:name w:val="标题 41"/>
    <w:basedOn w:val="717"/>
    <w:next w:val="719"/>
    <w:uiPriority w:val="0"/>
    <w:qFormat/>
    <w:pPr>
      <w:keepLines/>
      <w:keepNext/>
      <w:spacing w:line="360" w:lineRule="auto"/>
      <w:outlineLvl w:val="3"/>
    </w:pPr>
    <w:rPr>
      <w:rFonts w:ascii="Arial" w:hAnsi="Arial"/>
      <w:b/>
      <w:bCs/>
      <w:sz w:val="21"/>
      <w:szCs w:val="28"/>
    </w:rPr>
  </w:style>
  <w:style w:type="paragraph" w:styleId="717" w:customStyle="1">
    <w:name w:val="正文12"/>
    <w:next w:val="718"/>
    <w:uiPriority w:val="0"/>
    <w:qFormat/>
    <w:pPr>
      <w:jc w:val="both"/>
      <w:widowControl w:val="off"/>
    </w:pPr>
    <w:rPr>
      <w:rFonts w:hint="eastAsia" w:ascii="宋体" w:hAnsi="宋体" w:eastAsia="宋体" w:cs="宋体"/>
      <w:color w:val="000000"/>
      <w:lang w:val="en-US" w:eastAsia="zh-CN" w:bidi="ar-SA"/>
    </w:rPr>
  </w:style>
  <w:style w:type="paragraph" w:styleId="718" w:customStyle="1">
    <w:name w:val="正文文本1"/>
    <w:basedOn w:val="697"/>
    <w:next w:val="713"/>
    <w:uiPriority w:val="99"/>
    <w:qFormat/>
    <w:pPr>
      <w:ind w:left="100"/>
      <w:spacing w:before="102"/>
    </w:pPr>
    <w:rPr>
      <w:rFonts w:ascii="仿宋" w:hAnsi="仿宋" w:eastAsia="仿宋" w:cs="仿宋"/>
      <w:sz w:val="28"/>
      <w:szCs w:val="28"/>
      <w:lang w:val="zh-CN"/>
    </w:rPr>
  </w:style>
  <w:style w:type="paragraph" w:styleId="719" w:customStyle="1">
    <w:name w:val="正文11"/>
    <w:next w:val="720"/>
    <w:uiPriority w:val="0"/>
    <w:qFormat/>
    <w:pPr>
      <w:jc w:val="both"/>
      <w:widowControl w:val="off"/>
    </w:pPr>
    <w:rPr>
      <w:rFonts w:hint="default" w:ascii="Times New Roman" w:hAnsi="Times New Roman" w:eastAsia="宋体" w:cs="Times New Roman"/>
      <w:sz w:val="21"/>
      <w:szCs w:val="24"/>
    </w:rPr>
  </w:style>
  <w:style w:type="paragraph" w:styleId="720" w:customStyle="1">
    <w:name w:val="目录 11"/>
    <w:basedOn w:val="721"/>
    <w:next w:val="697"/>
    <w:uiPriority w:val="0"/>
    <w:qFormat/>
    <w:pPr>
      <w:jc w:val="left"/>
      <w:spacing w:after="100" w:line="259" w:lineRule="auto"/>
      <w:widowControl/>
    </w:pPr>
    <w:rPr>
      <w:rFonts w:ascii="Calibri" w:hAnsi="Calibri"/>
      <w:sz w:val="22"/>
      <w:szCs w:val="22"/>
    </w:rPr>
  </w:style>
  <w:style w:type="paragraph" w:styleId="721" w:customStyle="1">
    <w:name w:val="正文1"/>
    <w:basedOn w:val="722"/>
    <w:next w:val="718"/>
    <w:uiPriority w:val="0"/>
    <w:qFormat/>
    <w:pPr>
      <w:jc w:val="both"/>
      <w:widowControl w:val="off"/>
    </w:pPr>
    <w:rPr>
      <w:rFonts w:hint="default" w:ascii="Calibri" w:hAnsi="Calibri" w:eastAsia="宋体" w:cs="Times New Roman"/>
      <w:sz w:val="21"/>
      <w:szCs w:val="24"/>
    </w:rPr>
  </w:style>
  <w:style w:type="paragraph" w:styleId="722" w:customStyle="1">
    <w:name w:val="正文111"/>
    <w:next w:val="697"/>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723" w:customStyle="1">
    <w:name w:val="段"/>
    <w:basedOn w:val="721"/>
    <w:next w:val="721"/>
    <w:uiPriority w:val="0"/>
    <w:qFormat/>
    <w:pPr>
      <w:ind w:firstLine="200"/>
      <w:widowControl/>
    </w:pPr>
    <w:rPr>
      <w:rFonts w:ascii="宋体"/>
    </w:rPr>
  </w:style>
  <w:style w:type="paragraph" w:styleId="724">
    <w:name w:val="Body Text Indent"/>
    <w:basedOn w:val="697"/>
    <w:next w:val="725"/>
    <w:link w:val="909"/>
    <w:uiPriority w:val="0"/>
    <w:qFormat/>
    <w:pPr>
      <w:ind w:left="420"/>
      <w:spacing w:after="120"/>
    </w:pPr>
  </w:style>
  <w:style w:type="paragraph" w:styleId="725">
    <w:name w:val="envelope return"/>
    <w:basedOn w:val="697"/>
    <w:uiPriority w:val="0"/>
    <w:qFormat/>
    <w:rPr>
      <w:rFonts w:ascii="Arial" w:hAnsi="Arial"/>
    </w:rPr>
  </w:style>
  <w:style w:type="paragraph" w:styleId="726">
    <w:name w:val="Block Text"/>
    <w:basedOn w:val="697"/>
    <w:uiPriority w:val="6"/>
    <w:qFormat/>
    <w:pPr>
      <w:ind w:left="256" w:right="6" w:firstLine="624"/>
    </w:pPr>
    <w:rPr>
      <w:rFonts w:eastAsia="仿宋"/>
      <w:sz w:val="28"/>
      <w:szCs w:val="20"/>
    </w:rPr>
  </w:style>
  <w:style w:type="paragraph" w:styleId="727">
    <w:name w:val="index 4"/>
    <w:basedOn w:val="697"/>
    <w:next w:val="697"/>
    <w:uiPriority w:val="99"/>
    <w:unhideWhenUsed/>
    <w:qFormat/>
    <w:pPr>
      <w:ind w:left="600"/>
    </w:pPr>
    <w:rPr>
      <w:rFonts w:ascii="Verdana" w:hAnsi="Verdana" w:eastAsia="微软雅黑"/>
      <w:szCs w:val="20"/>
    </w:rPr>
  </w:style>
  <w:style w:type="paragraph" w:styleId="728">
    <w:name w:val="toc 5"/>
    <w:basedOn w:val="697"/>
    <w:next w:val="697"/>
    <w:uiPriority w:val="39"/>
    <w:unhideWhenUsed/>
    <w:qFormat/>
    <w:pPr>
      <w:ind w:left="1134" w:right="0" w:firstLine="0"/>
      <w:spacing w:after="57"/>
    </w:pPr>
  </w:style>
  <w:style w:type="paragraph" w:styleId="729">
    <w:name w:val="toc 3"/>
    <w:basedOn w:val="697"/>
    <w:next w:val="697"/>
    <w:uiPriority w:val="39"/>
    <w:unhideWhenUsed/>
    <w:qFormat/>
    <w:pPr>
      <w:ind w:left="567" w:right="0" w:firstLine="0"/>
      <w:spacing w:after="57"/>
    </w:pPr>
  </w:style>
  <w:style w:type="paragraph" w:styleId="730">
    <w:name w:val="Plain Text"/>
    <w:basedOn w:val="697"/>
    <w:link w:val="921"/>
    <w:uiPriority w:val="0"/>
    <w:qFormat/>
    <w:rPr>
      <w:rFonts w:ascii="宋体" w:hAnsi="Courier New"/>
      <w:szCs w:val="21"/>
    </w:rPr>
  </w:style>
  <w:style w:type="paragraph" w:styleId="731">
    <w:name w:val="toc 8"/>
    <w:basedOn w:val="697"/>
    <w:next w:val="697"/>
    <w:uiPriority w:val="39"/>
    <w:unhideWhenUsed/>
    <w:qFormat/>
    <w:pPr>
      <w:ind w:left="1984" w:right="0" w:firstLine="0"/>
      <w:spacing w:after="57"/>
    </w:pPr>
  </w:style>
  <w:style w:type="paragraph" w:styleId="732">
    <w:name w:val="Date"/>
    <w:basedOn w:val="697"/>
    <w:next w:val="697"/>
    <w:uiPriority w:val="0"/>
    <w:qFormat/>
    <w:rPr>
      <w:rFonts w:eastAsia="仿宋_GB2312"/>
      <w:sz w:val="28"/>
      <w:szCs w:val="20"/>
    </w:rPr>
  </w:style>
  <w:style w:type="paragraph" w:styleId="733">
    <w:name w:val="Body Text Indent 2"/>
    <w:basedOn w:val="697"/>
    <w:uiPriority w:val="0"/>
    <w:qFormat/>
    <w:pPr>
      <w:ind w:firstLine="475"/>
      <w:spacing w:line="10" w:lineRule="atLeast"/>
    </w:pPr>
    <w:rPr>
      <w:rFonts w:ascii="仿宋_GB2312" w:eastAsia="仿宋_GB2312"/>
      <w:sz w:val="24"/>
    </w:rPr>
  </w:style>
  <w:style w:type="paragraph" w:styleId="734">
    <w:name w:val="endnote text"/>
    <w:basedOn w:val="697"/>
    <w:link w:val="907"/>
    <w:uiPriority w:val="99"/>
    <w:semiHidden/>
    <w:unhideWhenUsed/>
    <w:qFormat/>
    <w:pPr>
      <w:spacing w:after="0" w:line="240" w:lineRule="auto"/>
    </w:pPr>
    <w:rPr>
      <w:sz w:val="20"/>
    </w:rPr>
  </w:style>
  <w:style w:type="paragraph" w:styleId="735">
    <w:name w:val="Footer"/>
    <w:basedOn w:val="697"/>
    <w:uiPriority w:val="0"/>
    <w:qFormat/>
    <w:pPr>
      <w:jc w:val="left"/>
      <w:tabs>
        <w:tab w:val="center" w:pos="4153" w:leader="none"/>
        <w:tab w:val="right" w:pos="8306" w:leader="none"/>
      </w:tabs>
    </w:pPr>
    <w:rPr>
      <w:sz w:val="18"/>
      <w:szCs w:val="18"/>
    </w:rPr>
  </w:style>
  <w:style w:type="paragraph" w:styleId="736">
    <w:name w:val="Header"/>
    <w:basedOn w:val="697"/>
    <w:uiPriority w:val="0"/>
    <w:qFormat/>
    <w:pPr>
      <w:jc w:val="center"/>
      <w:tabs>
        <w:tab w:val="center" w:pos="4153" w:leader="none"/>
        <w:tab w:val="right" w:pos="8306" w:leader="none"/>
      </w:tabs>
      <w:pBdr>
        <w:bottom w:val="single" w:color="auto" w:sz="6" w:space="1"/>
      </w:pBdr>
    </w:pPr>
    <w:rPr>
      <w:sz w:val="18"/>
      <w:szCs w:val="18"/>
    </w:rPr>
  </w:style>
  <w:style w:type="paragraph" w:styleId="737">
    <w:name w:val="toc 1"/>
    <w:basedOn w:val="697"/>
    <w:next w:val="697"/>
    <w:uiPriority w:val="39"/>
    <w:unhideWhenUsed/>
    <w:qFormat/>
    <w:pPr>
      <w:jc w:val="left"/>
      <w:spacing w:after="100" w:line="259" w:lineRule="auto"/>
      <w:widowControl/>
    </w:pPr>
    <w:rPr>
      <w:rFonts w:ascii="Calibri" w:hAnsi="Calibri"/>
      <w:sz w:val="22"/>
      <w:szCs w:val="22"/>
    </w:rPr>
  </w:style>
  <w:style w:type="paragraph" w:styleId="738">
    <w:name w:val="toc 4"/>
    <w:basedOn w:val="697"/>
    <w:next w:val="697"/>
    <w:uiPriority w:val="39"/>
    <w:unhideWhenUsed/>
    <w:qFormat/>
    <w:pPr>
      <w:ind w:left="850" w:right="0" w:firstLine="0"/>
      <w:spacing w:after="57"/>
    </w:pPr>
  </w:style>
  <w:style w:type="paragraph" w:styleId="739">
    <w:name w:val="Subtitle"/>
    <w:basedOn w:val="697"/>
    <w:next w:val="697"/>
    <w:link w:val="773"/>
    <w:uiPriority w:val="11"/>
    <w:qFormat/>
    <w:pPr>
      <w:spacing w:before="200" w:after="200"/>
    </w:pPr>
    <w:rPr>
      <w:sz w:val="24"/>
      <w:szCs w:val="24"/>
    </w:rPr>
  </w:style>
  <w:style w:type="paragraph" w:styleId="740">
    <w:name w:val="footnote text"/>
    <w:basedOn w:val="697"/>
    <w:link w:val="906"/>
    <w:uiPriority w:val="99"/>
    <w:semiHidden/>
    <w:unhideWhenUsed/>
    <w:qFormat/>
    <w:pPr>
      <w:spacing w:after="40" w:line="240" w:lineRule="auto"/>
    </w:pPr>
    <w:rPr>
      <w:sz w:val="18"/>
    </w:rPr>
  </w:style>
  <w:style w:type="paragraph" w:styleId="741">
    <w:name w:val="toc 6"/>
    <w:basedOn w:val="697"/>
    <w:next w:val="697"/>
    <w:uiPriority w:val="39"/>
    <w:unhideWhenUsed/>
    <w:qFormat/>
    <w:pPr>
      <w:ind w:left="1417" w:right="0" w:firstLine="0"/>
      <w:spacing w:after="57"/>
    </w:pPr>
  </w:style>
  <w:style w:type="paragraph" w:styleId="742">
    <w:name w:val="table of figures"/>
    <w:basedOn w:val="697"/>
    <w:next w:val="697"/>
    <w:uiPriority w:val="99"/>
    <w:unhideWhenUsed/>
    <w:qFormat/>
    <w:pPr>
      <w:spacing w:after="0" w:afterAutospacing="0"/>
    </w:pPr>
  </w:style>
  <w:style w:type="paragraph" w:styleId="743">
    <w:name w:val="toc 2"/>
    <w:basedOn w:val="697"/>
    <w:next w:val="697"/>
    <w:uiPriority w:val="39"/>
    <w:unhideWhenUsed/>
    <w:qFormat/>
    <w:pPr>
      <w:ind w:left="283" w:right="0" w:firstLine="0"/>
      <w:spacing w:after="57"/>
    </w:pPr>
  </w:style>
  <w:style w:type="paragraph" w:styleId="744">
    <w:name w:val="toc 9"/>
    <w:basedOn w:val="697"/>
    <w:next w:val="697"/>
    <w:uiPriority w:val="39"/>
    <w:unhideWhenUsed/>
    <w:qFormat/>
    <w:pPr>
      <w:ind w:left="2268" w:right="0" w:firstLine="0"/>
      <w:spacing w:after="57"/>
    </w:pPr>
  </w:style>
  <w:style w:type="paragraph" w:styleId="745">
    <w:name w:val="Normal (Web)"/>
    <w:basedOn w:val="697"/>
    <w:uiPriority w:val="0"/>
    <w:qFormat/>
    <w:pPr>
      <w:jc w:val="left"/>
      <w:spacing w:before="100" w:beforeAutospacing="1" w:after="100" w:afterAutospacing="1"/>
      <w:widowControl/>
    </w:pPr>
    <w:rPr>
      <w:rFonts w:ascii="宋体" w:hAnsi="宋体" w:cs="宋体"/>
      <w:sz w:val="24"/>
    </w:rPr>
  </w:style>
  <w:style w:type="paragraph" w:styleId="746">
    <w:name w:val="Title"/>
    <w:basedOn w:val="697"/>
    <w:link w:val="772"/>
    <w:uiPriority w:val="10"/>
    <w:qFormat/>
    <w:pPr>
      <w:contextualSpacing/>
      <w:spacing w:before="300" w:after="200"/>
    </w:pPr>
    <w:rPr>
      <w:sz w:val="48"/>
      <w:szCs w:val="48"/>
    </w:rPr>
  </w:style>
  <w:style w:type="paragraph" w:styleId="747">
    <w:name w:val="Body Text First Indent 2"/>
    <w:basedOn w:val="724"/>
    <w:link w:val="920"/>
    <w:uiPriority w:val="0"/>
    <w:qFormat/>
    <w:pPr>
      <w:ind w:firstLine="420"/>
    </w:pPr>
  </w:style>
  <w:style w:type="table" w:styleId="748">
    <w:name w:val="Table Grid"/>
    <w:basedOn w:val="70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9">
    <w:name w:val="endnote reference"/>
    <w:basedOn w:val="707"/>
    <w:uiPriority w:val="99"/>
    <w:semiHidden/>
    <w:unhideWhenUsed/>
    <w:qFormat/>
    <w:rPr>
      <w:vertAlign w:val="superscript"/>
    </w:rPr>
  </w:style>
  <w:style w:type="character" w:styleId="750">
    <w:name w:val="page number"/>
    <w:basedOn w:val="707"/>
    <w:uiPriority w:val="0"/>
    <w:qFormat/>
  </w:style>
  <w:style w:type="character" w:styleId="751">
    <w:name w:val="FollowedHyperlink"/>
    <w:basedOn w:val="707"/>
    <w:uiPriority w:val="0"/>
    <w:qFormat/>
    <w:rPr>
      <w:color w:val="800080"/>
      <w:u w:val="single"/>
    </w:rPr>
  </w:style>
  <w:style w:type="character" w:styleId="752">
    <w:name w:val="Hyperlink"/>
    <w:uiPriority w:val="0"/>
    <w:qFormat/>
    <w:rPr>
      <w:color w:val="0000ff"/>
      <w:u w:val="single"/>
    </w:rPr>
  </w:style>
  <w:style w:type="character" w:styleId="753">
    <w:name w:val="footnote reference"/>
    <w:basedOn w:val="707"/>
    <w:uiPriority w:val="99"/>
    <w:unhideWhenUsed/>
    <w:qFormat/>
    <w:rPr>
      <w:vertAlign w:val="superscript"/>
    </w:rPr>
  </w:style>
  <w:style w:type="paragraph" w:styleId="754" w:customStyle="1">
    <w:name w:val="首行缩进"/>
    <w:basedOn w:val="721"/>
    <w:uiPriority w:val="0"/>
    <w:qFormat/>
    <w:pPr>
      <w:ind w:left="0" w:firstLine="200"/>
      <w:jc w:val="both"/>
      <w:widowControl w:val="off"/>
    </w:pPr>
    <w:rPr>
      <w:rFonts w:ascii="Times New Roman" w:cs="Times New Roman"/>
      <w:sz w:val="20"/>
    </w:rPr>
  </w:style>
  <w:style w:type="paragraph" w:styleId="755" w:customStyle="1">
    <w:name w:val="正文首行缩进 211"/>
    <w:basedOn w:val="756"/>
    <w:next w:val="722"/>
    <w:uiPriority w:val="0"/>
    <w:qFormat/>
    <w:pPr>
      <w:ind w:firstLine="420"/>
      <w:tabs>
        <w:tab w:val="left" w:pos="0" w:leader="none"/>
        <w:tab w:val="left" w:pos="993" w:leader="none"/>
        <w:tab w:val="left" w:pos="1134" w:leader="none"/>
      </w:tabs>
    </w:pPr>
  </w:style>
  <w:style w:type="paragraph" w:styleId="756" w:customStyle="1">
    <w:name w:val="正文文本缩进11"/>
    <w:basedOn w:val="722"/>
    <w:next w:val="757"/>
    <w:uiPriority w:val="0"/>
    <w:qFormat/>
    <w:pPr>
      <w:ind w:left="420"/>
      <w:spacing w:after="120"/>
    </w:pPr>
  </w:style>
  <w:style w:type="paragraph" w:styleId="757" w:customStyle="1">
    <w:name w:val="寄信人地址1"/>
    <w:basedOn w:val="719"/>
    <w:uiPriority w:val="0"/>
    <w:qFormat/>
    <w:rPr>
      <w:rFonts w:ascii="Arial" w:hAnsi="Arial"/>
    </w:rPr>
  </w:style>
  <w:style w:type="paragraph" w:styleId="758" w:customStyle="1">
    <w:name w:val="目录 111"/>
    <w:basedOn w:val="722"/>
    <w:next w:val="697"/>
    <w:uiPriority w:val="0"/>
    <w:qFormat/>
    <w:pPr>
      <w:jc w:val="left"/>
      <w:spacing w:after="100" w:line="259" w:lineRule="auto"/>
      <w:widowControl/>
    </w:pPr>
    <w:rPr>
      <w:rFonts w:ascii="Calibri" w:hAnsi="Calibri"/>
      <w:sz w:val="22"/>
      <w:szCs w:val="22"/>
    </w:rPr>
  </w:style>
  <w:style w:type="paragraph" w:styleId="759" w:customStyle="1">
    <w:name w:val="目录 1111"/>
    <w:basedOn w:val="697"/>
    <w:next w:val="697"/>
    <w:uiPriority w:val="39"/>
    <w:unhideWhenUsed/>
    <w:qFormat/>
    <w:pPr>
      <w:spacing w:after="57"/>
    </w:pPr>
    <w:rPr>
      <w:rFonts w:ascii="Times New Roman" w:hAnsi="Times New Roman" w:eastAsia="宋体" w:cs="Times New Roman"/>
      <w:lang w:val="en-US" w:eastAsia="zh-CN" w:bidi="ar-SA"/>
    </w:rPr>
  </w:style>
  <w:style w:type="character" w:styleId="760" w:customStyle="1">
    <w:name w:val="标题 3 Char"/>
    <w:basedOn w:val="707"/>
    <w:link w:val="700"/>
    <w:uiPriority w:val="0"/>
    <w:qFormat/>
    <w:rPr>
      <w:b/>
      <w:bCs/>
      <w:sz w:val="32"/>
      <w:szCs w:val="32"/>
    </w:rPr>
  </w:style>
  <w:style w:type="character" w:styleId="761" w:customStyle="1">
    <w:name w:val="Heading 1 Char"/>
    <w:basedOn w:val="707"/>
    <w:uiPriority w:val="9"/>
    <w:qFormat/>
    <w:rPr>
      <w:rFonts w:ascii="Arial" w:hAnsi="Arial" w:eastAsia="Arial" w:cs="Arial"/>
      <w:sz w:val="40"/>
      <w:szCs w:val="40"/>
    </w:rPr>
  </w:style>
  <w:style w:type="character" w:styleId="762" w:customStyle="1">
    <w:name w:val="Heading 2 Char"/>
    <w:basedOn w:val="707"/>
    <w:link w:val="699"/>
    <w:uiPriority w:val="9"/>
    <w:qFormat/>
    <w:rPr>
      <w:rFonts w:ascii="Arial" w:hAnsi="Arial" w:eastAsia="Arial" w:cs="Arial"/>
      <w:sz w:val="34"/>
    </w:rPr>
  </w:style>
  <w:style w:type="character" w:styleId="763" w:customStyle="1">
    <w:name w:val="Heading 3 Char"/>
    <w:basedOn w:val="707"/>
    <w:uiPriority w:val="9"/>
    <w:qFormat/>
    <w:rPr>
      <w:rFonts w:ascii="Arial" w:hAnsi="Arial" w:eastAsia="Arial" w:cs="Arial"/>
      <w:sz w:val="30"/>
      <w:szCs w:val="30"/>
    </w:rPr>
  </w:style>
  <w:style w:type="character" w:styleId="764" w:customStyle="1">
    <w:name w:val="Heading 4 Char"/>
    <w:basedOn w:val="707"/>
    <w:uiPriority w:val="9"/>
    <w:qFormat/>
    <w:rPr>
      <w:rFonts w:ascii="Arial" w:hAnsi="Arial" w:eastAsia="Arial" w:cs="Arial"/>
      <w:b/>
      <w:bCs/>
      <w:sz w:val="26"/>
      <w:szCs w:val="26"/>
    </w:rPr>
  </w:style>
  <w:style w:type="character" w:styleId="765" w:customStyle="1">
    <w:name w:val="Heading 5 Char"/>
    <w:basedOn w:val="707"/>
    <w:link w:val="702"/>
    <w:uiPriority w:val="9"/>
    <w:qFormat/>
    <w:rPr>
      <w:rFonts w:ascii="Arial" w:hAnsi="Arial" w:eastAsia="Arial" w:cs="Arial"/>
      <w:b/>
      <w:bCs/>
      <w:sz w:val="24"/>
      <w:szCs w:val="24"/>
    </w:rPr>
  </w:style>
  <w:style w:type="character" w:styleId="766" w:customStyle="1">
    <w:name w:val="Heading 6 Char"/>
    <w:basedOn w:val="707"/>
    <w:link w:val="703"/>
    <w:uiPriority w:val="9"/>
    <w:qFormat/>
    <w:rPr>
      <w:rFonts w:ascii="Arial" w:hAnsi="Arial" w:eastAsia="Arial" w:cs="Arial"/>
      <w:b/>
      <w:bCs/>
      <w:sz w:val="22"/>
      <w:szCs w:val="22"/>
    </w:rPr>
  </w:style>
  <w:style w:type="character" w:styleId="767" w:customStyle="1">
    <w:name w:val="Heading 7 Char"/>
    <w:basedOn w:val="707"/>
    <w:link w:val="704"/>
    <w:uiPriority w:val="9"/>
    <w:qFormat/>
    <w:rPr>
      <w:rFonts w:ascii="Arial" w:hAnsi="Arial" w:eastAsia="Arial" w:cs="Arial"/>
      <w:b/>
      <w:bCs/>
      <w:i/>
      <w:iCs/>
      <w:sz w:val="22"/>
      <w:szCs w:val="22"/>
    </w:rPr>
  </w:style>
  <w:style w:type="character" w:styleId="768" w:customStyle="1">
    <w:name w:val="Heading 8 Char"/>
    <w:basedOn w:val="707"/>
    <w:link w:val="705"/>
    <w:uiPriority w:val="9"/>
    <w:qFormat/>
    <w:rPr>
      <w:rFonts w:ascii="Arial" w:hAnsi="Arial" w:eastAsia="Arial" w:cs="Arial"/>
      <w:i/>
      <w:iCs/>
      <w:sz w:val="22"/>
      <w:szCs w:val="22"/>
    </w:rPr>
  </w:style>
  <w:style w:type="character" w:styleId="769" w:customStyle="1">
    <w:name w:val="Heading 9 Char"/>
    <w:basedOn w:val="707"/>
    <w:link w:val="706"/>
    <w:uiPriority w:val="9"/>
    <w:qFormat/>
    <w:rPr>
      <w:rFonts w:ascii="Arial" w:hAnsi="Arial" w:eastAsia="Arial" w:cs="Arial"/>
      <w:i/>
      <w:iCs/>
      <w:sz w:val="21"/>
      <w:szCs w:val="21"/>
    </w:rPr>
  </w:style>
  <w:style w:type="paragraph" w:styleId="770">
    <w:name w:val="List Paragraph"/>
    <w:basedOn w:val="697"/>
    <w:uiPriority w:val="34"/>
    <w:qFormat/>
    <w:pPr>
      <w:contextualSpacing/>
      <w:ind w:left="720"/>
    </w:pPr>
  </w:style>
  <w:style w:type="paragraph" w:styleId="771">
    <w:name w:val="No Spacing"/>
    <w:uiPriority w:val="1"/>
    <w:qFormat/>
    <w:pPr>
      <w:spacing w:before="0" w:after="0" w:line="240" w:lineRule="auto"/>
    </w:pPr>
    <w:rPr>
      <w:rFonts w:hint="default" w:ascii="Times New Roman" w:hAnsi="Times New Roman" w:eastAsia="宋体" w:cs="Times New Roman"/>
    </w:rPr>
  </w:style>
  <w:style w:type="character" w:styleId="772" w:customStyle="1">
    <w:name w:val="Title Char"/>
    <w:basedOn w:val="707"/>
    <w:link w:val="746"/>
    <w:uiPriority w:val="10"/>
    <w:qFormat/>
    <w:rPr>
      <w:sz w:val="48"/>
      <w:szCs w:val="48"/>
    </w:rPr>
  </w:style>
  <w:style w:type="character" w:styleId="773" w:customStyle="1">
    <w:name w:val="Subtitle Char"/>
    <w:basedOn w:val="707"/>
    <w:link w:val="739"/>
    <w:uiPriority w:val="11"/>
    <w:qFormat/>
    <w:rPr>
      <w:sz w:val="24"/>
      <w:szCs w:val="24"/>
    </w:rPr>
  </w:style>
  <w:style w:type="paragraph" w:styleId="774">
    <w:name w:val="Quote"/>
    <w:basedOn w:val="697"/>
    <w:next w:val="697"/>
    <w:link w:val="775"/>
    <w:uiPriority w:val="29"/>
    <w:qFormat/>
    <w:pPr>
      <w:ind w:left="720" w:right="720"/>
    </w:pPr>
    <w:rPr>
      <w:i/>
    </w:rPr>
  </w:style>
  <w:style w:type="character" w:styleId="775" w:customStyle="1">
    <w:name w:val="Quote Char"/>
    <w:link w:val="774"/>
    <w:uiPriority w:val="29"/>
    <w:qFormat/>
    <w:rPr>
      <w:i/>
    </w:rPr>
  </w:style>
  <w:style w:type="paragraph" w:styleId="776">
    <w:name w:val="Intense Quote"/>
    <w:basedOn w:val="697"/>
    <w:next w:val="697"/>
    <w:link w:val="7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7" w:customStyle="1">
    <w:name w:val="Intense Quote Char"/>
    <w:link w:val="776"/>
    <w:uiPriority w:val="30"/>
    <w:qFormat/>
    <w:rPr>
      <w:i/>
    </w:rPr>
  </w:style>
  <w:style w:type="character" w:styleId="778" w:customStyle="1">
    <w:name w:val="Header Char"/>
    <w:basedOn w:val="707"/>
    <w:uiPriority w:val="99"/>
    <w:qFormat/>
  </w:style>
  <w:style w:type="character" w:styleId="779" w:customStyle="1">
    <w:name w:val="Footer Char"/>
    <w:basedOn w:val="707"/>
    <w:uiPriority w:val="99"/>
    <w:qFormat/>
  </w:style>
  <w:style w:type="character" w:styleId="780" w:customStyle="1">
    <w:name w:val="Caption Char"/>
    <w:uiPriority w:val="99"/>
    <w:qFormat/>
  </w:style>
  <w:style w:type="table" w:styleId="781" w:customStyle="1">
    <w:name w:val="Table Grid Light"/>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2" w:customStyle="1">
    <w:name w:val="Plain Table 1"/>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2"/>
    <w:basedOn w:val="7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customStyle="1">
    <w:name w:val="Plain Table 3"/>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customStyle="1">
    <w:name w:val="Plain Table 4"/>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customStyle="1">
    <w:name w:val="Plain Table 5"/>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7" w:customStyle="1">
    <w:name w:val="Grid Table 1 Light"/>
    <w:basedOn w:val="7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1"/>
    <w:basedOn w:val="70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2"/>
    <w:basedOn w:val="70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3"/>
    <w:basedOn w:val="70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4"/>
    <w:basedOn w:val="70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5"/>
    <w:basedOn w:val="70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6"/>
    <w:basedOn w:val="70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4" w:customStyle="1">
    <w:name w:val="Grid Table 2"/>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Grid Table 2 - Accent 1"/>
    <w:basedOn w:val="70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6" w:customStyle="1">
    <w:name w:val="Grid Table 2 - Accent 2"/>
    <w:basedOn w:val="70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2 - Accent 3"/>
    <w:basedOn w:val="70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2 - Accent 4"/>
    <w:basedOn w:val="70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2 - Accent 5"/>
    <w:basedOn w:val="70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0" w:customStyle="1">
    <w:name w:val="Grid Table 2 - Accent 6"/>
    <w:basedOn w:val="70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1" w:customStyle="1">
    <w:name w:val="Grid Table 3"/>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1"/>
    <w:basedOn w:val="70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2"/>
    <w:basedOn w:val="70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3"/>
    <w:basedOn w:val="70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4"/>
    <w:basedOn w:val="70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5"/>
    <w:basedOn w:val="70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6"/>
    <w:basedOn w:val="70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4"/>
    <w:basedOn w:val="70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customStyle="1">
    <w:name w:val="Grid Table 4 - Accent 1"/>
    <w:basedOn w:val="70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0" w:customStyle="1">
    <w:name w:val="Grid Table 4 - Accent 2"/>
    <w:basedOn w:val="70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1" w:customStyle="1">
    <w:name w:val="Grid Table 4 - Accent 3"/>
    <w:basedOn w:val="70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2" w:customStyle="1">
    <w:name w:val="Grid Table 4 - Accent 4"/>
    <w:basedOn w:val="70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3" w:customStyle="1">
    <w:name w:val="Grid Table 4 - Accent 5"/>
    <w:basedOn w:val="70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4" w:customStyle="1">
    <w:name w:val="Grid Table 4 - Accent 6"/>
    <w:basedOn w:val="70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5" w:customStyle="1">
    <w:name w:val="Grid Table 5 Dark"/>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5 Dark- Accent 1"/>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7" w:customStyle="1">
    <w:name w:val="Grid Table 5 Dark - Accent 2"/>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8" w:customStyle="1">
    <w:name w:val="Grid Table 5 Dark - Accent 3"/>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9" w:customStyle="1">
    <w:name w:val="Grid Table 5 Dark- Accent 4"/>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0" w:customStyle="1">
    <w:name w:val="Grid Table 5 Dark - Accent 5"/>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1" w:customStyle="1">
    <w:name w:val="Grid Table 5 Dark - Accent 6"/>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2" w:customStyle="1">
    <w:name w:val="Grid Table 6 Colorful"/>
    <w:basedOn w:val="70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3" w:customStyle="1">
    <w:name w:val="Grid Table 6 Colorful - Accent 1"/>
    <w:basedOn w:val="70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4" w:customStyle="1">
    <w:name w:val="Grid Table 6 Colorful - Accent 2"/>
    <w:basedOn w:val="70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5" w:customStyle="1">
    <w:name w:val="Grid Table 6 Colorful - Accent 3"/>
    <w:basedOn w:val="70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6" w:customStyle="1">
    <w:name w:val="Grid Table 6 Colorful - Accent 4"/>
    <w:basedOn w:val="70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7" w:customStyle="1">
    <w:name w:val="Grid Table 6 Colorful - Accent 5"/>
    <w:basedOn w:val="70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6 Colorful - Accent 6"/>
    <w:basedOn w:val="70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9" w:customStyle="1">
    <w:name w:val="Grid Table 7 Colorful"/>
    <w:basedOn w:val="70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Grid Table 7 Colorful - Accent 1"/>
    <w:basedOn w:val="70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1" w:customStyle="1">
    <w:name w:val="Grid Table 7 Colorful - Accent 2"/>
    <w:basedOn w:val="70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2" w:customStyle="1">
    <w:name w:val="Grid Table 7 Colorful - Accent 3"/>
    <w:basedOn w:val="70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3" w:customStyle="1">
    <w:name w:val="Grid Table 7 Colorful - Accent 4"/>
    <w:basedOn w:val="70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4" w:customStyle="1">
    <w:name w:val="Grid Table 7 Colorful - Accent 5"/>
    <w:basedOn w:val="70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5" w:customStyle="1">
    <w:name w:val="Grid Table 7 Colorful - Accent 6"/>
    <w:basedOn w:val="70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6" w:customStyle="1">
    <w:name w:val="List Table 1 Light"/>
    <w:basedOn w:val="70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customStyle="1">
    <w:name w:val="List Table 1 Light - Accent 1"/>
    <w:basedOn w:val="70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8" w:customStyle="1">
    <w:name w:val="List Table 1 Light - Accent 2"/>
    <w:basedOn w:val="70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9" w:customStyle="1">
    <w:name w:val="List Table 1 Light - Accent 3"/>
    <w:basedOn w:val="70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0" w:customStyle="1">
    <w:name w:val="List Table 1 Light - Accent 4"/>
    <w:basedOn w:val="70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1" w:customStyle="1">
    <w:name w:val="List Table 1 Light - Accent 5"/>
    <w:basedOn w:val="70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List Table 1 Light - Accent 6"/>
    <w:basedOn w:val="70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List Table 2"/>
    <w:basedOn w:val="70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2 - Accent 1"/>
    <w:basedOn w:val="70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5" w:customStyle="1">
    <w:name w:val="List Table 2 - Accent 2"/>
    <w:basedOn w:val="70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6" w:customStyle="1">
    <w:name w:val="List Table 2 - Accent 3"/>
    <w:basedOn w:val="70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7" w:customStyle="1">
    <w:name w:val="List Table 2 - Accent 4"/>
    <w:basedOn w:val="70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8" w:customStyle="1">
    <w:name w:val="List Table 2 - Accent 5"/>
    <w:basedOn w:val="70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9" w:customStyle="1">
    <w:name w:val="List Table 2 - Accent 6"/>
    <w:basedOn w:val="70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0" w:customStyle="1">
    <w:name w:val="List Table 3"/>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1" w:customStyle="1">
    <w:name w:val="List Table 3 - Accent 1"/>
    <w:basedOn w:val="70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2" w:customStyle="1">
    <w:name w:val="List Table 3 - Accent 2"/>
    <w:basedOn w:val="70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3" w:customStyle="1">
    <w:name w:val="List Table 3 - Accent 3"/>
    <w:basedOn w:val="70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4" w:customStyle="1">
    <w:name w:val="List Table 3 - Accent 4"/>
    <w:basedOn w:val="70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5" w:customStyle="1">
    <w:name w:val="List Table 3 - Accent 5"/>
    <w:basedOn w:val="70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6" w:customStyle="1">
    <w:name w:val="List Table 3 - Accent 6"/>
    <w:basedOn w:val="70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7" w:customStyle="1">
    <w:name w:val="List Table 4"/>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4 - Accent 1"/>
    <w:basedOn w:val="70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4 - Accent 2"/>
    <w:basedOn w:val="70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0" w:customStyle="1">
    <w:name w:val="List Table 4 - Accent 3"/>
    <w:basedOn w:val="70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1" w:customStyle="1">
    <w:name w:val="List Table 4 - Accent 4"/>
    <w:basedOn w:val="70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2" w:customStyle="1">
    <w:name w:val="List Table 4 - Accent 5"/>
    <w:basedOn w:val="70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3" w:customStyle="1">
    <w:name w:val="List Table 4 - Accent 6"/>
    <w:basedOn w:val="70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4" w:customStyle="1">
    <w:name w:val="List Table 5 Dark"/>
    <w:basedOn w:val="70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1"/>
    <w:basedOn w:val="70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2"/>
    <w:basedOn w:val="70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3"/>
    <w:basedOn w:val="70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4"/>
    <w:basedOn w:val="70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5"/>
    <w:basedOn w:val="70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6"/>
    <w:basedOn w:val="70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6 Colorful"/>
    <w:basedOn w:val="70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2" w:customStyle="1">
    <w:name w:val="List Table 6 Colorful - Accent 1"/>
    <w:basedOn w:val="70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3" w:customStyle="1">
    <w:name w:val="List Table 6 Colorful - Accent 2"/>
    <w:basedOn w:val="70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4" w:customStyle="1">
    <w:name w:val="List Table 6 Colorful - Accent 3"/>
    <w:basedOn w:val="70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5" w:customStyle="1">
    <w:name w:val="List Table 6 Colorful - Accent 4"/>
    <w:basedOn w:val="70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6" w:customStyle="1">
    <w:name w:val="List Table 6 Colorful - Accent 5"/>
    <w:basedOn w:val="70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7" w:customStyle="1">
    <w:name w:val="List Table 6 Colorful - Accent 6"/>
    <w:basedOn w:val="70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8" w:customStyle="1">
    <w:name w:val="List Table 7 Colorful"/>
    <w:basedOn w:val="70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List Table 7 Colorful - Accent 1"/>
    <w:basedOn w:val="70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0" w:customStyle="1">
    <w:name w:val="List Table 7 Colorful - Accent 2"/>
    <w:basedOn w:val="70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List Table 7 Colorful - Accent 3"/>
    <w:basedOn w:val="70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2" w:customStyle="1">
    <w:name w:val="List Table 7 Colorful - Accent 4"/>
    <w:basedOn w:val="70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List Table 7 Colorful - Accent 5"/>
    <w:basedOn w:val="70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4" w:customStyle="1">
    <w:name w:val="List Table 7 Colorful - Accent 6"/>
    <w:basedOn w:val="70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5" w:customStyle="1">
    <w:name w:val="Lined - Accent"/>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6" w:customStyle="1">
    <w:name w:val="Lined - Accent 1"/>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7" w:customStyle="1">
    <w:name w:val="Lined - Accent 2"/>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8" w:customStyle="1">
    <w:name w:val="Lined - Accent 3"/>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9" w:customStyle="1">
    <w:name w:val="Lined - Accent 4"/>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0" w:customStyle="1">
    <w:name w:val="Lined - Accent 5"/>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1" w:customStyle="1">
    <w:name w:val="Lined - Accent 6"/>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2" w:customStyle="1">
    <w:name w:val="Bordered &amp; Lined - Accent"/>
    <w:basedOn w:val="70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Bordered &amp; Lined - Accent 1"/>
    <w:basedOn w:val="70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Bordered &amp; Lined - Accent 2"/>
    <w:basedOn w:val="70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Bordered &amp; Lined - Accent 3"/>
    <w:basedOn w:val="70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Bordered &amp; Lined - Accent 4"/>
    <w:basedOn w:val="70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Bordered &amp; Lined - Accent 5"/>
    <w:basedOn w:val="70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Bordered &amp; Lined - Accent 6"/>
    <w:basedOn w:val="70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w:basedOn w:val="70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0" w:customStyle="1">
    <w:name w:val="Bordered - Accent 1"/>
    <w:basedOn w:val="70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1" w:customStyle="1">
    <w:name w:val="Bordered - Accent 2"/>
    <w:basedOn w:val="70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2" w:customStyle="1">
    <w:name w:val="Bordered - Accent 3"/>
    <w:basedOn w:val="70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3" w:customStyle="1">
    <w:name w:val="Bordered - Accent 4"/>
    <w:basedOn w:val="70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4" w:customStyle="1">
    <w:name w:val="Bordered - Accent 5"/>
    <w:basedOn w:val="70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5" w:customStyle="1">
    <w:name w:val="Bordered - Accent 6"/>
    <w:basedOn w:val="70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6" w:customStyle="1">
    <w:name w:val="Footnote Text Char"/>
    <w:link w:val="740"/>
    <w:uiPriority w:val="99"/>
    <w:qFormat/>
    <w:rPr>
      <w:sz w:val="18"/>
    </w:rPr>
  </w:style>
  <w:style w:type="character" w:styleId="907" w:customStyle="1">
    <w:name w:val="Endnote Text Char"/>
    <w:link w:val="734"/>
    <w:uiPriority w:val="99"/>
    <w:qFormat/>
    <w:rPr>
      <w:sz w:val="20"/>
    </w:rPr>
  </w:style>
  <w:style w:type="paragraph" w:styleId="908" w:customStyle="1">
    <w:name w:val="TOC Heading"/>
    <w:uiPriority w:val="39"/>
    <w:unhideWhenUsed/>
    <w:qFormat/>
    <w:rPr>
      <w:rFonts w:hint="default" w:ascii="Times New Roman" w:hAnsi="Times New Roman" w:eastAsia="宋体" w:cs="Times New Roman"/>
    </w:rPr>
  </w:style>
  <w:style w:type="character" w:styleId="909" w:customStyle="1">
    <w:name w:val="正文文本缩进 Char"/>
    <w:basedOn w:val="707"/>
    <w:link w:val="724"/>
    <w:uiPriority w:val="0"/>
    <w:qFormat/>
    <w:rPr>
      <w:sz w:val="21"/>
      <w:szCs w:val="24"/>
    </w:rPr>
  </w:style>
  <w:style w:type="paragraph" w:styleId="910" w:customStyle="1">
    <w:name w:val="默认段落字体 Para Char Char Char Char Char Char Char"/>
    <w:basedOn w:val="697"/>
    <w:uiPriority w:val="0"/>
    <w:qFormat/>
    <w:rPr>
      <w:rFonts w:ascii="Tahoma" w:hAnsi="Tahoma"/>
      <w:sz w:val="24"/>
      <w:szCs w:val="20"/>
    </w:rPr>
  </w:style>
  <w:style w:type="paragraph" w:styleId="911" w:customStyle="1">
    <w:name w:val="Char"/>
    <w:basedOn w:val="697"/>
    <w:uiPriority w:val="0"/>
    <w:qFormat/>
    <w:pPr>
      <w:tabs>
        <w:tab w:val="left" w:pos="360" w:leader="none"/>
      </w:tabs>
    </w:pPr>
    <w:rPr>
      <w:sz w:val="24"/>
    </w:rPr>
  </w:style>
  <w:style w:type="paragraph" w:styleId="912" w:customStyle="1">
    <w:name w:val="普通正文"/>
    <w:basedOn w:val="697"/>
    <w:uiPriority w:val="0"/>
    <w:qFormat/>
    <w:pPr>
      <w:ind w:firstLine="480"/>
      <w:jc w:val="left"/>
      <w:spacing w:before="120" w:after="120" w:line="360" w:lineRule="auto"/>
    </w:pPr>
    <w:rPr>
      <w:rFonts w:ascii="Arial" w:hAnsi="Arial"/>
      <w:sz w:val="24"/>
    </w:rPr>
  </w:style>
  <w:style w:type="paragraph" w:styleId="913" w:customStyle="1">
    <w:name w:val="p0"/>
    <w:basedOn w:val="697"/>
    <w:uiPriority w:val="0"/>
    <w:qFormat/>
    <w:pPr>
      <w:widowControl/>
    </w:pPr>
    <w:rPr>
      <w:szCs w:val="21"/>
    </w:rPr>
  </w:style>
  <w:style w:type="paragraph" w:styleId="914" w:customStyle="1">
    <w:name w:val="Default"/>
    <w:basedOn w:val="697"/>
    <w:uiPriority w:val="0"/>
    <w:qFormat/>
    <w:rPr>
      <w:rFonts w:ascii="宋体" w:hAnsi="宋体" w:cs="宋体"/>
      <w:color w:val="000000"/>
      <w:sz w:val="24"/>
    </w:rPr>
  </w:style>
  <w:style w:type="paragraph" w:styleId="915" w:customStyle="1">
    <w:name w:val="正文首行缩进 21"/>
    <w:basedOn w:val="916"/>
    <w:uiPriority w:val="0"/>
    <w:qFormat/>
    <w:pPr>
      <w:ind w:firstLine="420"/>
      <w:spacing w:line="357" w:lineRule="atLeast"/>
    </w:pPr>
    <w:rPr>
      <w:color w:val="000000"/>
      <w:sz w:val="20"/>
      <w:szCs w:val="20"/>
    </w:rPr>
  </w:style>
  <w:style w:type="paragraph" w:styleId="916" w:customStyle="1">
    <w:name w:val="正文文本缩进1"/>
    <w:basedOn w:val="721"/>
    <w:uiPriority w:val="99"/>
    <w:qFormat/>
    <w:pPr>
      <w:ind w:firstLine="420"/>
      <w:jc w:val="left"/>
    </w:pPr>
    <w:rPr>
      <w:rFonts w:ascii="宋体" w:hAnsi="宋体"/>
      <w:sz w:val="34"/>
      <w:szCs w:val="20"/>
    </w:rPr>
  </w:style>
  <w:style w:type="character" w:styleId="917" w:customStyle="1">
    <w:name w:val="16"/>
    <w:basedOn w:val="707"/>
    <w:uiPriority w:val="0"/>
    <w:qFormat/>
    <w:rPr>
      <w:rFonts w:hint="eastAsia" w:ascii="黑体" w:hAnsi="宋体" w:eastAsia="黑体" w:cs="黑体"/>
      <w:color w:val="000000"/>
      <w:sz w:val="44"/>
      <w:szCs w:val="44"/>
    </w:rPr>
  </w:style>
  <w:style w:type="character" w:styleId="918" w:customStyle="1">
    <w:name w:val="15"/>
    <w:basedOn w:val="707"/>
    <w:uiPriority w:val="0"/>
    <w:qFormat/>
    <w:rPr>
      <w:rFonts w:hint="eastAsia" w:ascii="仿宋" w:hAnsi="仿宋" w:eastAsia="仿宋" w:cs="仿宋"/>
      <w:color w:val="000000"/>
      <w:sz w:val="18"/>
      <w:szCs w:val="18"/>
    </w:rPr>
  </w:style>
  <w:style w:type="paragraph" w:styleId="919" w:customStyle="1">
    <w:name w:val="Table Paragraph"/>
    <w:basedOn w:val="697"/>
    <w:uiPriority w:val="1"/>
    <w:qFormat/>
    <w:rPr>
      <w:rFonts w:ascii="宋体" w:hAnsi="宋体" w:cs="宋体"/>
      <w:lang w:val="zh-CN" w:bidi="zh-CN"/>
    </w:rPr>
  </w:style>
  <w:style w:type="character" w:styleId="920" w:customStyle="1">
    <w:name w:val="正文首行缩进 2 Char"/>
    <w:basedOn w:val="909"/>
    <w:link w:val="747"/>
    <w:uiPriority w:val="0"/>
    <w:qFormat/>
  </w:style>
  <w:style w:type="character" w:styleId="921" w:customStyle="1">
    <w:name w:val="纯文本 Char"/>
    <w:basedOn w:val="707"/>
    <w:link w:val="730"/>
    <w:uiPriority w:val="0"/>
    <w:qFormat/>
    <w:rPr>
      <w:rFonts w:ascii="宋体" w:hAnsi="Courier New"/>
      <w:sz w:val="21"/>
      <w:szCs w:val="21"/>
    </w:rPr>
  </w:style>
  <w:style w:type="paragraph" w:styleId="922" w:customStyle="1">
    <w:name w:val="正文（缩进）"/>
    <w:basedOn w:val="697"/>
    <w:uiPriority w:val="0"/>
    <w:qFormat/>
    <w:pPr>
      <w:ind w:firstLine="480"/>
      <w:spacing w:line="360" w:lineRule="auto"/>
    </w:pPr>
    <w:rPr>
      <w:sz w:val="24"/>
    </w:rPr>
  </w:style>
  <w:style w:type="paragraph" w:styleId="923" w:customStyle="1">
    <w:name w:val="正文缩进1"/>
    <w:basedOn w:val="697"/>
    <w:uiPriority w:val="99"/>
    <w:qFormat/>
    <w:pPr>
      <w:ind w:firstLine="420"/>
    </w:pPr>
  </w:style>
  <w:style w:type="paragraph" w:styleId="924" w:customStyle="1">
    <w:name w:val="寄信人地址11"/>
    <w:basedOn w:val="697"/>
    <w:uiPriority w:val="0"/>
    <w:qFormat/>
    <w:pPr>
      <w:ind w:firstLine="200"/>
    </w:pPr>
    <w:rPr>
      <w:rFonts w:ascii="Arial" w:hAnsi="Arial" w:eastAsia="仿宋_GB2312" w:cs="Arial"/>
    </w:rPr>
  </w:style>
  <w:style w:type="paragraph" w:styleId="925" w:customStyle="1">
    <w:name w:val="_HT_正文"/>
    <w:basedOn w:val="697"/>
    <w:uiPriority w:val="0"/>
    <w:qFormat/>
    <w:pPr>
      <w:ind w:firstLine="200"/>
      <w:spacing w:line="360" w:lineRule="auto"/>
    </w:pPr>
    <w:rPr>
      <w:sz w:val="24"/>
    </w:rPr>
  </w:style>
  <w:style w:type="paragraph" w:styleId="926" w:customStyle="1">
    <w:name w:val="正文文本 21"/>
    <w:basedOn w:val="697"/>
    <w:next w:val="697"/>
    <w:uiPriority w:val="0"/>
    <w:qFormat/>
    <w:pPr>
      <w:ind w:right="-198"/>
      <w:jc w:val="center"/>
      <w:tabs>
        <w:tab w:val="left" w:pos="9072" w:leader="none"/>
      </w:tabs>
      <w:outlineLvl w:val="0"/>
    </w:pPr>
    <w:rPr>
      <w:rFonts w:ascii="宋体" w:hAnsi="宋体"/>
      <w:b/>
      <w:sz w:val="60"/>
    </w:rPr>
  </w:style>
  <w:style w:type="paragraph" w:styleId="927" w:customStyle="1">
    <w:name w:val="列出段落5"/>
    <w:basedOn w:val="697"/>
    <w:uiPriority w:val="34"/>
    <w:qFormat/>
    <w:pPr>
      <w:contextualSpacing/>
      <w:ind w:left="720"/>
      <w:jc w:val="left"/>
      <w:spacing w:after="200" w:line="276" w:lineRule="auto"/>
      <w:widowControl/>
    </w:pPr>
    <w:rPr>
      <w:sz w:val="22"/>
    </w:rPr>
  </w:style>
  <w:style w:type="table" w:styleId="928" w:customStyle="1">
    <w:name w:val="网格型1"/>
    <w:basedOn w:val="929"/>
    <w:uiPriority w:val="0"/>
    <w:qFormat/>
    <w:pPr>
      <w:jc w:val="both"/>
      <w:widowControl w:val="off"/>
    </w:pPr>
    <w:tblPr/>
  </w:style>
  <w:style w:type="table" w:styleId="929" w:customStyle="1">
    <w:name w:val="普通表格1"/>
    <w:uiPriority w:val="0"/>
    <w:semiHidden/>
    <w:qFormat/>
    <w:tblPr/>
  </w:style>
  <w:style w:type="paragraph" w:styleId="930" w:customStyle="1">
    <w:name w:val="普通(网站)11"/>
    <w:basedOn w:val="697"/>
    <w:uiPriority w:val="0"/>
    <w:qFormat/>
    <w:pPr>
      <w:jc w:val="left"/>
      <w:spacing w:before="100" w:beforeAutospacing="1" w:after="100" w:afterAutospacing="1"/>
      <w:widowControl/>
    </w:pPr>
    <w:rPr>
      <w:rFonts w:ascii="宋体" w:hAnsi="宋体" w:cs="宋体"/>
      <w:sz w:val="24"/>
    </w:rPr>
  </w:style>
  <w:style w:type="paragraph" w:styleId="931" w:customStyle="1">
    <w:name w:val="文本块1"/>
    <w:basedOn w:val="697"/>
    <w:uiPriority w:val="6"/>
    <w:qFormat/>
    <w:pPr>
      <w:ind w:left="256" w:right="6" w:firstLine="624"/>
    </w:pPr>
    <w:rPr>
      <w:rFonts w:ascii="Times New Roman" w:hAnsi="Times New Roman" w:eastAsia="仿宋" w:cs="Times New Roman"/>
      <w:sz w:val="28"/>
      <w:szCs w:val="20"/>
    </w:rPr>
  </w:style>
  <w:style w:type="character" w:styleId="932" w:customStyle="1">
    <w:name w:val="font81"/>
    <w:basedOn w:val="707"/>
    <w:uiPriority w:val="0"/>
    <w:qFormat/>
    <w:rPr>
      <w:rFonts w:hint="eastAsia" w:ascii="宋体" w:hAnsi="宋体" w:eastAsia="宋体" w:cs="宋体"/>
      <w:color w:val="000000"/>
      <w:sz w:val="22"/>
      <w:szCs w:val="22"/>
      <w:u w:val="none"/>
    </w:rPr>
  </w:style>
  <w:style w:type="character" w:styleId="933" w:customStyle="1">
    <w:name w:val="NormalCharacter1"/>
    <w:link w:val="697"/>
    <w:uiPriority w:val="0"/>
    <w:semiHidden/>
    <w:qFormat/>
    <w:rPr>
      <w:rFonts w:hint="default" w:ascii="Times New Roman" w:hAnsi="Times New Roman" w:eastAsia="宋体" w:cs="Times New Roman"/>
      <w:sz w:val="21"/>
      <w:szCs w:val="24"/>
    </w:rPr>
  </w:style>
  <w:style w:type="paragraph" w:styleId="934" w:customStyle="1">
    <w:name w:val="正文1111"/>
    <w:next w:val="9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5" w:customStyle="1">
    <w:name w:val="文本块11"/>
    <w:basedOn w:val="717"/>
    <w:uiPriority w:val="0"/>
    <w:qFormat/>
    <w:pPr>
      <w:ind w:left="256" w:right="6" w:firstLine="624"/>
    </w:pPr>
    <w:rPr>
      <w:rFonts w:ascii="仿宋_GB2312" w:eastAsia="仿宋_GB2312"/>
      <w:sz w:val="30"/>
      <w:szCs w:val="20"/>
    </w:rPr>
  </w:style>
  <w:style w:type="paragraph" w:styleId="936" w:customStyle="1">
    <w:name w:val="脚注文本1"/>
    <w:basedOn w:val="721"/>
    <w:next w:val="937"/>
    <w:uiPriority w:val="0"/>
    <w:qFormat/>
    <w:pPr>
      <w:jc w:val="left"/>
    </w:pPr>
    <w:rPr>
      <w:rFonts w:ascii="宋体" w:eastAsia="Times New Roman"/>
    </w:rPr>
  </w:style>
  <w:style w:type="paragraph" w:styleId="937" w:customStyle="1">
    <w:name w:val="索引 51"/>
    <w:basedOn w:val="721"/>
    <w:next w:val="721"/>
    <w:uiPriority w:val="0"/>
    <w:qFormat/>
    <w:pPr>
      <w:ind w:left="798"/>
      <w:jc w:val="left"/>
    </w:pPr>
    <w:rPr>
      <w:rFonts w:ascii="Calibri" w:hAnsi="Calibri"/>
    </w:rPr>
  </w:style>
  <w:style w:type="paragraph" w:styleId="938" w:customStyle="1">
    <w:name w:val="信息标题1"/>
    <w:basedOn w:val="697"/>
    <w:next w:val="939"/>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39" w:customStyle="1">
    <w:name w:val="正文文本12"/>
    <w:basedOn w:val="697"/>
    <w:next w:val="697"/>
    <w:uiPriority w:val="99"/>
    <w:qFormat/>
    <w:pPr>
      <w:spacing w:after="120"/>
    </w:pPr>
  </w:style>
  <w:style w:type="character" w:styleId="940" w:customStyle="1">
    <w:name w:val="超链接1"/>
    <w:link w:val="697"/>
    <w:uiPriority w:val="99"/>
    <w:unhideWhenUsed/>
    <w:qFormat/>
    <w:rPr>
      <w:color w:val="0000ff"/>
      <w:u w:val="single"/>
    </w:rPr>
  </w:style>
  <w:style w:type="paragraph" w:styleId="941" w:customStyle="1">
    <w:name w:val="列表段落1"/>
    <w:basedOn w:val="721"/>
    <w:next w:val="697"/>
    <w:uiPriority w:val="99"/>
    <w:qFormat/>
    <w:pPr>
      <w:ind w:firstLine="420"/>
    </w:pPr>
  </w:style>
  <w:style w:type="paragraph" w:styleId="942" w:customStyle="1">
    <w:name w:val="正文文本11"/>
    <w:basedOn w:val="715"/>
    <w:next w:val="713"/>
    <w:uiPriority w:val="0"/>
    <w:qFormat/>
    <w:pPr>
      <w:spacing w:after="120"/>
    </w:pPr>
  </w:style>
  <w:style w:type="paragraph" w:styleId="94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4" w:customStyle="1">
    <w:name w:val="纯文本1"/>
    <w:basedOn w:val="715"/>
    <w:uiPriority w:val="0"/>
    <w:qFormat/>
    <w:rPr>
      <w:rFonts w:ascii="宋体" w:hAnsi="Courier New"/>
      <w:sz w:val="21"/>
      <w:szCs w:val="21"/>
    </w:rPr>
  </w:style>
  <w:style w:type="paragraph" w:styleId="945" w:customStyle="1">
    <w:name w:val="页眉1"/>
    <w:basedOn w:val="721"/>
    <w:uiPriority w:val="0"/>
    <w:qFormat/>
    <w:pPr>
      <w:jc w:val="center"/>
      <w:tabs>
        <w:tab w:val="center" w:pos="4153" w:leader="none"/>
        <w:tab w:val="right" w:pos="8306" w:leader="none"/>
      </w:tabs>
      <w:pBdr>
        <w:bottom w:val="single" w:color="000000" w:sz="6" w:space="1"/>
      </w:pBdr>
    </w:pPr>
    <w:rPr>
      <w:sz w:val="18"/>
      <w:szCs w:val="18"/>
    </w:rPr>
  </w:style>
  <w:style w:type="paragraph" w:styleId="946" w:customStyle="1">
    <w:name w:val="页脚1"/>
    <w:basedOn w:val="721"/>
    <w:uiPriority w:val="0"/>
    <w:qFormat/>
    <w:pPr>
      <w:jc w:val="left"/>
      <w:tabs>
        <w:tab w:val="center" w:pos="4153" w:leader="none"/>
        <w:tab w:val="right" w:pos="8306" w:leader="none"/>
      </w:tabs>
    </w:pPr>
    <w:rPr>
      <w:sz w:val="18"/>
      <w:szCs w:val="18"/>
    </w:rPr>
  </w:style>
  <w:style w:type="character" w:styleId="947" w:customStyle="1">
    <w:name w:val="页码1"/>
    <w:uiPriority w:val="0"/>
    <w:qFormat/>
  </w:style>
  <w:style w:type="character" w:styleId="948" w:customStyle="1">
    <w:name w:val="font71"/>
    <w:basedOn w:val="707"/>
    <w:uiPriority w:val="0"/>
    <w:qFormat/>
    <w:rPr>
      <w:rFonts w:hint="eastAsia" w:ascii="宋体" w:hAnsi="宋体" w:eastAsia="宋体" w:cs="宋体"/>
      <w:color w:val="000000"/>
      <w:sz w:val="22"/>
      <w:szCs w:val="22"/>
      <w:u w:val="none"/>
    </w:rPr>
  </w:style>
  <w:style w:type="character" w:styleId="949" w:customStyle="1">
    <w:name w:val="font11"/>
    <w:basedOn w:val="707"/>
    <w:uiPriority w:val="0"/>
    <w:qFormat/>
    <w:rPr>
      <w:rFonts w:ascii="微软雅黑" w:hAnsi="微软雅黑" w:eastAsia="微软雅黑" w:cs="微软雅黑"/>
      <w:color w:val="000000"/>
      <w:sz w:val="22"/>
      <w:szCs w:val="22"/>
      <w:u w:val="none"/>
    </w:rPr>
  </w:style>
  <w:style w:type="paragraph" w:styleId="950" w:customStyle="1">
    <w:name w:val="文本块111"/>
    <w:basedOn w:val="697"/>
    <w:next w:val="697"/>
    <w:uiPriority w:val="6"/>
    <w:unhideWhenUsed/>
    <w:qFormat/>
    <w:pPr>
      <w:ind w:left="1440" w:right="1440"/>
      <w:spacing w:after="120"/>
    </w:pPr>
  </w:style>
  <w:style w:type="paragraph" w:styleId="951" w:customStyle="1">
    <w:name w:val="粗字体子题目"/>
    <w:uiPriority w:val="0"/>
    <w:qFormat/>
    <w:pPr>
      <w:jc w:val="both"/>
      <w:spacing w:line="0" w:lineRule="atLeast"/>
      <w:shd w:val="clear" w:color="auto" w:fill="feffff"/>
    </w:pPr>
    <w:rPr>
      <w:rFonts w:hint="default" w:ascii="Arial" w:hAnsi="Arial" w:eastAsia="宋体" w:cs="Times New Roman"/>
      <w:b/>
      <w:color w:val="010000"/>
      <w:sz w:val="24"/>
      <w:lang w:val="en-US" w:eastAsia="zh-CN" w:bidi="ar-SA"/>
    </w:rPr>
  </w:style>
  <w:style w:type="paragraph" w:styleId="952" w:customStyle="1">
    <w:name w:val="内容样式"/>
    <w:basedOn w:val="719"/>
    <w:uiPriority w:val="0"/>
    <w:qFormat/>
    <w:pPr>
      <w:ind w:firstLine="560"/>
      <w:spacing w:line="460" w:lineRule="exact"/>
      <w:widowControl w:val="off"/>
    </w:pPr>
    <w:rPr>
      <w:rFonts w:ascii="仿宋_GB2312" w:hAnsi="仿宋_GB2312" w:eastAsia="仿宋_GB2312"/>
      <w:sz w:val="28"/>
      <w:szCs w:val="22"/>
    </w:rPr>
  </w:style>
  <w:style w:type="paragraph" w:styleId="953" w:customStyle="1">
    <w:name w:val="列出段落"/>
    <w:uiPriority w:val="0"/>
    <w:qFormat/>
    <w:pPr>
      <w:contextualSpacing/>
      <w:ind w:left="720"/>
    </w:pPr>
    <w:rPr>
      <w:rFonts w:hint="default" w:ascii="Times New Roman" w:hAnsi="Times New Roman" w:eastAsia="宋体" w:cs="Times New Roman"/>
      <w:lang w:val="en-US" w:eastAsia="zh-CN" w:bidi="ar-SA"/>
    </w:rPr>
  </w:style>
  <w:style w:type="paragraph" w:styleId="954" w:customStyle="1">
    <w:name w:val="标题1"/>
    <w:uiPriority w:val="0"/>
    <w:qFormat/>
    <w:pPr>
      <w:contextualSpacing/>
      <w:spacing w:before="300" w:after="200"/>
    </w:pPr>
    <w:rPr>
      <w:rFonts w:hint="default" w:ascii="Times New Roman" w:hAnsi="Times New Roman" w:eastAsia="宋体" w:cs="Times New Roman"/>
      <w:sz w:val="48"/>
      <w:szCs w:val="48"/>
      <w:lang w:bidi="ar-SA"/>
    </w:rPr>
  </w:style>
  <w:style w:type="paragraph" w:styleId="955" w:customStyle="1">
    <w:name w:val="！A正文小四"/>
    <w:basedOn w:val="697"/>
    <w:uiPriority w:val="0"/>
    <w:qFormat/>
    <w:pPr>
      <w:jc w:val="left"/>
      <w:spacing w:line="360" w:lineRule="auto"/>
      <w:widowControl/>
    </w:pPr>
    <w:rPr>
      <w:sz w:val="24"/>
      <w:lang w:val="zh-CN"/>
    </w:rPr>
  </w:style>
  <w:style w:type="character" w:styleId="956" w:customStyle="1">
    <w:name w:val="font21"/>
    <w:basedOn w:val="707"/>
    <w:uiPriority w:val="0"/>
    <w:qFormat/>
    <w:rPr>
      <w:rFonts w:hint="eastAsia" w:ascii="宋体" w:hAnsi="宋体" w:eastAsia="宋体" w:cs="宋体"/>
      <w:color w:val="000000"/>
      <w:sz w:val="16"/>
      <w:szCs w:val="16"/>
      <w:u w:val="none"/>
    </w:rPr>
  </w:style>
  <w:style w:type="character" w:styleId="957" w:customStyle="1">
    <w:name w:val="font01"/>
    <w:basedOn w:val="707"/>
    <w:uiPriority w:val="0"/>
    <w:qFormat/>
    <w:rPr>
      <w:rFonts w:hint="eastAsia" w:ascii="宋体" w:hAnsi="宋体" w:eastAsia="宋体" w:cs="宋体"/>
      <w:color w:val="000000"/>
      <w:sz w:val="22"/>
      <w:szCs w:val="22"/>
      <w:u w:val="none"/>
    </w:rPr>
  </w:style>
  <w:style w:type="character" w:styleId="958" w:customStyle="1">
    <w:name w:val="font31"/>
    <w:basedOn w:val="707"/>
    <w:uiPriority w:val="0"/>
    <w:qFormat/>
    <w:rPr>
      <w:rFonts w:hint="eastAsia" w:ascii="宋体" w:hAnsi="宋体" w:eastAsia="宋体" w:cs="宋体"/>
      <w:b/>
      <w:bCs/>
      <w:color w:val="000000"/>
      <w:sz w:val="16"/>
      <w:szCs w:val="16"/>
      <w:u w:val="none"/>
    </w:rPr>
  </w:style>
  <w:style w:type="paragraph" w:styleId="959" w:customStyle="1">
    <w:name w:val="正文文本111"/>
    <w:basedOn w:val="697"/>
    <w:next w:val="717"/>
    <w:uiPriority w:val="0"/>
    <w:qFormat/>
    <w:rPr>
      <w:rFonts w:ascii="楷体_GB2312" w:hAnsi="Arial" w:eastAsia="楷体_GB2312"/>
      <w:sz w:val="28"/>
      <w:szCs w:val="28"/>
      <w:lang w:eastAsia="en-US"/>
    </w:rPr>
  </w:style>
  <w:style w:type="numbering" w:styleId="9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宋文祥</cp:lastModifiedBy>
  <cp:revision>242</cp:revision>
  <dcterms:created xsi:type="dcterms:W3CDTF">2024-01-26T07:00:00Z</dcterms:created>
  <dcterms:modified xsi:type="dcterms:W3CDTF">2025-11-17T07:53:26Z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271FD29E48BB47089B0D6151DA0D7732_13</vt:lpwstr>
  </property>
  <property fmtid="{D5CDD505-2E9C-101B-9397-08002B2CF9AE}" pid="4" name="KSOTemplateDocerSaveRecord">
    <vt:lpwstr>eyJoZGlkIjoiZGFkNmE0M2ZlYTFhZWE2YjNjN2Q3ZDk5NTdiM2E3OGYiLCJ1c2VySWQiOiIxMjAwNTA1MTI5In0=</vt:lpwstr>
  </property>
</Properties>
</file>